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160" w:line="360" w:lineRule="auto"/>
        <w:ind w:right="0" w:firstLine="0"/>
        <w:jc w:val="center"/>
        <w:rPr>
          <w:rFonts w:hint="eastAsia" w:ascii="宋体" w:hAnsi="宋体" w:eastAsia="宋体"/>
          <w:b/>
          <w:bCs/>
          <w:color w:val="auto"/>
          <w:position w:val="0"/>
          <w:sz w:val="21"/>
          <w:szCs w:val="21"/>
          <w:lang w:eastAsia="zh-CN"/>
        </w:rPr>
      </w:pPr>
      <w:r>
        <w:rPr>
          <w:rFonts w:hint="eastAsia" w:ascii="宋体" w:hAnsi="宋体" w:eastAsia="宋体"/>
          <w:b/>
          <w:bCs/>
          <w:color w:val="auto"/>
          <w:position w:val="0"/>
          <w:sz w:val="21"/>
          <w:szCs w:val="21"/>
          <w:lang w:eastAsia="zh-CN"/>
        </w:rPr>
        <w:t>天城校区物业管理服务要求及说明</w:t>
      </w:r>
    </w:p>
    <w:p>
      <w:pPr>
        <w:keepNext w:val="0"/>
        <w:keepLines w:val="0"/>
        <w:pageBreakBefore w:val="0"/>
        <w:widowControl/>
        <w:numPr>
          <w:ilvl w:val="0"/>
          <w:numId w:val="0"/>
        </w:numPr>
        <w:kinsoku/>
        <w:wordWrap/>
        <w:overflowPunct/>
        <w:topLinePunct w:val="0"/>
        <w:autoSpaceDE/>
        <w:autoSpaceDN/>
        <w:bidi w:val="0"/>
        <w:adjustRightInd/>
        <w:snapToGrid w:val="0"/>
        <w:spacing w:after="160" w:line="360" w:lineRule="auto"/>
        <w:ind w:left="0" w:leftChars="0" w:right="0" w:rightChars="0" w:firstLine="420" w:firstLineChars="200"/>
        <w:jc w:val="both"/>
        <w:textAlignment w:val="auto"/>
        <w:outlineLvl w:val="9"/>
        <w:rPr>
          <w:rFonts w:hint="default" w:ascii="宋体" w:hAnsi="宋体" w:eastAsia="宋体"/>
          <w:color w:val="auto"/>
          <w:position w:val="0"/>
          <w:sz w:val="21"/>
          <w:szCs w:val="21"/>
        </w:rPr>
      </w:pPr>
      <w:r>
        <w:rPr>
          <w:rFonts w:hint="default" w:ascii="宋体" w:hAnsi="宋体" w:eastAsia="宋体"/>
          <w:color w:val="auto"/>
          <w:position w:val="0"/>
          <w:sz w:val="21"/>
          <w:szCs w:val="21"/>
        </w:rPr>
        <w:t>2015</w:t>
      </w:r>
      <w:r>
        <w:rPr>
          <w:rFonts w:hint="default" w:ascii="宋体" w:hAnsi="Times New Roman" w:eastAsia="Times New Roman"/>
          <w:color w:val="auto"/>
          <w:position w:val="0"/>
          <w:sz w:val="21"/>
          <w:szCs w:val="21"/>
        </w:rPr>
        <w:t>年</w:t>
      </w:r>
      <w:r>
        <w:rPr>
          <w:rFonts w:hint="default" w:ascii="宋体" w:hAnsi="宋体" w:eastAsia="宋体"/>
          <w:color w:val="auto"/>
          <w:position w:val="0"/>
          <w:sz w:val="21"/>
          <w:szCs w:val="21"/>
        </w:rPr>
        <w:t>11</w:t>
      </w:r>
      <w:r>
        <w:rPr>
          <w:rFonts w:hint="default" w:ascii="宋体" w:hAnsi="Times New Roman" w:eastAsia="Times New Roman"/>
          <w:color w:val="auto"/>
          <w:position w:val="0"/>
          <w:sz w:val="21"/>
          <w:szCs w:val="21"/>
        </w:rPr>
        <w:t>月，中国残联复函同意我省创建全国首个国家级残疾人创意创业孵化基地（园），希望充分发挥浙江发展电子商务得天独厚的优势和浙江特殊教育职业学院场地、专业、人才的优势，在促进我省残疾人新形态就业创业方面发挥重要作用，也为其他各省市提供宝贵经验和示范效应。</w:t>
      </w:r>
    </w:p>
    <w:p>
      <w:pPr>
        <w:keepNext w:val="0"/>
        <w:keepLines w:val="0"/>
        <w:pageBreakBefore w:val="0"/>
        <w:widowControl/>
        <w:numPr>
          <w:ilvl w:val="0"/>
          <w:numId w:val="0"/>
        </w:numPr>
        <w:kinsoku/>
        <w:wordWrap/>
        <w:overflowPunct/>
        <w:topLinePunct w:val="0"/>
        <w:autoSpaceDE/>
        <w:autoSpaceDN/>
        <w:bidi w:val="0"/>
        <w:adjustRightInd/>
        <w:snapToGrid w:val="0"/>
        <w:spacing w:after="160" w:line="360" w:lineRule="auto"/>
        <w:ind w:left="0" w:leftChars="0" w:right="0" w:rightChars="0" w:firstLine="420" w:firstLineChars="200"/>
        <w:jc w:val="both"/>
        <w:textAlignment w:val="auto"/>
        <w:outlineLvl w:val="9"/>
        <w:rPr>
          <w:rFonts w:hint="default" w:ascii="宋体" w:hAnsi="宋体" w:eastAsia="宋体"/>
          <w:color w:val="auto"/>
          <w:position w:val="0"/>
          <w:sz w:val="21"/>
          <w:szCs w:val="21"/>
        </w:rPr>
      </w:pPr>
      <w:r>
        <w:rPr>
          <w:rFonts w:hint="default" w:ascii="宋体" w:hAnsi="宋体" w:eastAsia="宋体"/>
          <w:color w:val="auto"/>
          <w:position w:val="0"/>
          <w:sz w:val="21"/>
          <w:szCs w:val="21"/>
        </w:rPr>
        <w:t>该创业园以浙江特殊教育职业学院天城路校区为办公用地，位于杭州天城路</w:t>
      </w:r>
      <w:r>
        <w:rPr>
          <w:rFonts w:hint="default" w:ascii="宋体" w:hAnsi="宋体" w:eastAsia="宋体"/>
          <w:color w:val="auto"/>
          <w:position w:val="0"/>
          <w:sz w:val="21"/>
          <w:szCs w:val="21"/>
        </w:rPr>
        <w:t>145号，主要有</w:t>
      </w:r>
      <w:r>
        <w:rPr>
          <w:rFonts w:hint="default" w:ascii="宋体" w:hAnsi="宋体" w:eastAsia="宋体"/>
          <w:color w:val="auto"/>
          <w:position w:val="0"/>
          <w:sz w:val="21"/>
          <w:szCs w:val="21"/>
        </w:rPr>
        <w:t>3幢单体建筑，总建筑面积约</w:t>
      </w:r>
      <w:r>
        <w:rPr>
          <w:rFonts w:hint="default" w:ascii="宋体" w:hAnsi="宋体" w:eastAsia="宋体"/>
          <w:color w:val="auto"/>
          <w:position w:val="0"/>
          <w:sz w:val="21"/>
          <w:szCs w:val="21"/>
        </w:rPr>
        <w:t>1万平方米。根据园区功能规划，主要用房和规划如下：</w:t>
      </w:r>
    </w:p>
    <w:p>
      <w:pPr>
        <w:keepNext w:val="0"/>
        <w:keepLines w:val="0"/>
        <w:pageBreakBefore w:val="0"/>
        <w:widowControl/>
        <w:numPr>
          <w:ilvl w:val="0"/>
          <w:numId w:val="0"/>
        </w:numPr>
        <w:kinsoku/>
        <w:wordWrap/>
        <w:overflowPunct/>
        <w:topLinePunct w:val="0"/>
        <w:autoSpaceDE/>
        <w:autoSpaceDN/>
        <w:bidi w:val="0"/>
        <w:adjustRightInd/>
        <w:snapToGrid w:val="0"/>
        <w:spacing w:after="160" w:line="360" w:lineRule="auto"/>
        <w:ind w:left="0" w:leftChars="0" w:right="0" w:rightChars="0" w:firstLine="420" w:firstLineChars="200"/>
        <w:jc w:val="both"/>
        <w:textAlignment w:val="auto"/>
        <w:outlineLvl w:val="9"/>
        <w:rPr>
          <w:rFonts w:hint="default" w:ascii="宋体" w:hAnsi="宋体" w:eastAsia="宋体"/>
          <w:color w:val="auto"/>
          <w:position w:val="0"/>
          <w:sz w:val="21"/>
          <w:szCs w:val="21"/>
        </w:rPr>
      </w:pPr>
      <w:r>
        <w:rPr>
          <w:rFonts w:hint="default" w:ascii="宋体" w:hAnsi="宋体" w:eastAsia="宋体"/>
          <w:color w:val="auto"/>
          <w:position w:val="0"/>
          <w:sz w:val="21"/>
          <w:szCs w:val="21"/>
        </w:rPr>
        <w:t>1号教学楼（共</w:t>
      </w:r>
      <w:r>
        <w:rPr>
          <w:rFonts w:hint="default" w:ascii="宋体" w:hAnsi="宋体" w:eastAsia="宋体"/>
          <w:color w:val="auto"/>
          <w:position w:val="0"/>
          <w:sz w:val="21"/>
          <w:szCs w:val="21"/>
        </w:rPr>
        <w:t>3928平方）：主要用于集聚电子商务企业及必要的仓储、物流服务，并提供创业学院和培训基地等所需要的一定数量教室。</w:t>
      </w:r>
    </w:p>
    <w:p>
      <w:pPr>
        <w:keepNext w:val="0"/>
        <w:keepLines w:val="0"/>
        <w:pageBreakBefore w:val="0"/>
        <w:widowControl/>
        <w:numPr>
          <w:ilvl w:val="0"/>
          <w:numId w:val="0"/>
        </w:numPr>
        <w:kinsoku/>
        <w:wordWrap/>
        <w:overflowPunct/>
        <w:topLinePunct w:val="0"/>
        <w:autoSpaceDE/>
        <w:autoSpaceDN/>
        <w:bidi w:val="0"/>
        <w:adjustRightInd/>
        <w:snapToGrid w:val="0"/>
        <w:spacing w:after="160" w:line="360" w:lineRule="auto"/>
        <w:ind w:left="0" w:leftChars="0" w:right="0" w:rightChars="0" w:firstLine="420" w:firstLineChars="200"/>
        <w:jc w:val="both"/>
        <w:textAlignment w:val="auto"/>
        <w:outlineLvl w:val="9"/>
        <w:rPr>
          <w:rFonts w:hint="default" w:ascii="宋体" w:hAnsi="宋体" w:eastAsia="宋体"/>
          <w:color w:val="auto"/>
          <w:position w:val="0"/>
          <w:sz w:val="21"/>
          <w:szCs w:val="21"/>
        </w:rPr>
      </w:pPr>
      <w:r>
        <w:rPr>
          <w:rFonts w:hint="default" w:ascii="宋体" w:hAnsi="宋体" w:eastAsia="宋体"/>
          <w:color w:val="auto"/>
          <w:position w:val="0"/>
          <w:sz w:val="21"/>
          <w:szCs w:val="21"/>
        </w:rPr>
        <w:t>2号教学楼（共</w:t>
      </w:r>
      <w:r>
        <w:rPr>
          <w:rFonts w:hint="default" w:ascii="宋体" w:hAnsi="宋体" w:eastAsia="宋体"/>
          <w:color w:val="auto"/>
          <w:position w:val="0"/>
          <w:sz w:val="21"/>
          <w:szCs w:val="21"/>
        </w:rPr>
        <w:t>945平方）：主要作为园区消控室、会议室、接待室、工作室、行政管理用房。</w:t>
      </w:r>
    </w:p>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学生宿舍楼（共</w:t>
      </w:r>
      <w:r>
        <w:rPr>
          <w:rFonts w:hint="default" w:ascii="宋体" w:hAnsi="宋体" w:eastAsia="宋体"/>
          <w:color w:val="auto"/>
          <w:position w:val="0"/>
          <w:sz w:val="21"/>
          <w:szCs w:val="21"/>
        </w:rPr>
        <w:t>4938</w:t>
      </w:r>
      <w:r>
        <w:rPr>
          <w:rFonts w:hint="default" w:ascii="宋体" w:hAnsi="Times New Roman" w:eastAsia="Times New Roman"/>
          <w:color w:val="auto"/>
          <w:position w:val="0"/>
          <w:sz w:val="21"/>
          <w:szCs w:val="21"/>
        </w:rPr>
        <w:t>平方）：一楼店面房、食堂（对内经营）和二楼作为园区展示接待中心、文化创意工作室、自强网上商城</w:t>
      </w:r>
      <w:r>
        <w:rPr>
          <w:rFonts w:hint="default" w:ascii="宋体" w:hAnsi="宋体" w:eastAsia="宋体"/>
          <w:color w:val="auto"/>
          <w:position w:val="0"/>
          <w:sz w:val="21"/>
          <w:szCs w:val="21"/>
        </w:rPr>
        <w:t>O2O</w:t>
      </w:r>
      <w:r>
        <w:rPr>
          <w:rFonts w:hint="default" w:ascii="宋体" w:hAnsi="Times New Roman" w:eastAsia="Times New Roman"/>
          <w:color w:val="auto"/>
          <w:position w:val="0"/>
          <w:sz w:val="21"/>
          <w:szCs w:val="21"/>
        </w:rPr>
        <w:t>体验中心以及自强特色展示与体验服务区；三楼部分作为自强众创空间（创业咖啡吧）；三</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六楼作为青年众创社区（宿舍）。</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1、委托服务范围：环境卫生管理；传达、保安、秩序管理和消防、监控设施维护管理；给排水设备运行维护；供电设备管理维护；房屋日常养护维修等。</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2、管理要求：</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（1）严格遵守园区消防安全目标管理责任书等有关规定；</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（2）负责维护园区公共秩序、安全防范等事项；</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（3）负责物业公共设施设备的运行、维护、养护和管理；</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（4）负责物业公共区域的清洁卫生、垃圾的收集中转以及与污水管道的疏通。</w:t>
      </w:r>
    </w:p>
    <w:p>
      <w:pPr>
        <w:numPr>
          <w:ilvl w:val="0"/>
          <w:numId w:val="0"/>
        </w:numPr>
        <w:autoSpaceDE/>
        <w:autoSpaceDN/>
        <w:snapToGrid w:val="0"/>
        <w:spacing w:before="0" w:after="160" w:line="360" w:lineRule="auto"/>
        <w:ind w:right="0" w:firstLine="0"/>
        <w:jc w:val="both"/>
        <w:rPr>
          <w:rFonts w:hint="default" w:ascii="宋体" w:hAnsi="Courier New" w:eastAsia="Courier New"/>
          <w:b w:val="0"/>
          <w:bCs/>
          <w:color w:val="auto"/>
          <w:position w:val="0"/>
          <w:sz w:val="21"/>
          <w:szCs w:val="21"/>
        </w:rPr>
      </w:pPr>
      <w:r>
        <w:rPr>
          <w:rFonts w:hint="default" w:ascii="宋体" w:hAnsi="Courier New" w:eastAsia="Courier New"/>
          <w:b w:val="0"/>
          <w:bCs/>
          <w:color w:val="auto"/>
          <w:position w:val="0"/>
          <w:sz w:val="21"/>
          <w:szCs w:val="21"/>
        </w:rPr>
        <w:t>3</w:t>
      </w:r>
      <w:r>
        <w:rPr>
          <w:rFonts w:hint="default" w:ascii="宋体" w:hAnsi="Times New Roman" w:eastAsia="Times New Roman"/>
          <w:b w:val="0"/>
          <w:bCs/>
          <w:color w:val="auto"/>
          <w:position w:val="0"/>
          <w:sz w:val="21"/>
          <w:szCs w:val="21"/>
        </w:rPr>
        <w:t>、相关费用：中标人提供管理与服务，物业管理的开办费用包含在项目报价内，投标人需详细核算并报价。投标人中标后，招标人将不再追加额外费用。</w:t>
      </w:r>
    </w:p>
    <w:p>
      <w:pPr>
        <w:numPr>
          <w:ilvl w:val="0"/>
          <w:numId w:val="0"/>
        </w:numPr>
        <w:autoSpaceDE/>
        <w:autoSpaceDN/>
        <w:snapToGrid w:val="0"/>
        <w:spacing w:before="0" w:after="160" w:line="360" w:lineRule="auto"/>
        <w:ind w:right="0" w:firstLine="0"/>
        <w:jc w:val="both"/>
        <w:rPr>
          <w:rFonts w:hint="default" w:ascii="宋体" w:hAnsi="Times New Roman" w:eastAsia="Times New Roman"/>
          <w:b w:val="0"/>
          <w:bCs/>
          <w:color w:val="auto"/>
          <w:position w:val="0"/>
          <w:sz w:val="21"/>
          <w:szCs w:val="21"/>
        </w:rPr>
      </w:pPr>
      <w:r>
        <w:rPr>
          <w:rFonts w:hint="default" w:ascii="宋体" w:hAnsi="Times New Roman" w:eastAsia="Times New Roman"/>
          <w:b w:val="0"/>
          <w:bCs/>
          <w:color w:val="auto"/>
          <w:position w:val="0"/>
          <w:sz w:val="21"/>
          <w:szCs w:val="21"/>
        </w:rPr>
        <w:t>（</w:t>
      </w:r>
      <w:r>
        <w:rPr>
          <w:rFonts w:hint="default" w:ascii="宋体" w:hAnsi="宋体" w:eastAsia="宋体"/>
          <w:b w:val="0"/>
          <w:bCs/>
          <w:color w:val="auto"/>
          <w:position w:val="0"/>
          <w:sz w:val="21"/>
          <w:szCs w:val="21"/>
        </w:rPr>
        <w:t>1</w:t>
      </w:r>
      <w:r>
        <w:rPr>
          <w:rFonts w:hint="default" w:ascii="宋体" w:hAnsi="Times New Roman" w:eastAsia="Times New Roman"/>
          <w:b w:val="0"/>
          <w:bCs/>
          <w:color w:val="auto"/>
          <w:position w:val="0"/>
          <w:sz w:val="21"/>
          <w:szCs w:val="21"/>
        </w:rPr>
        <w:t>）</w:t>
      </w:r>
      <w:r>
        <w:rPr>
          <w:rFonts w:hint="default" w:ascii="Times New Roman" w:hAnsi="Times New Roman" w:eastAsia="Times New Roman"/>
          <w:b w:val="0"/>
          <w:bCs/>
          <w:color w:val="auto"/>
          <w:position w:val="0"/>
          <w:sz w:val="21"/>
          <w:szCs w:val="21"/>
        </w:rPr>
        <w:t>招标人</w:t>
      </w:r>
      <w:r>
        <w:rPr>
          <w:rFonts w:hint="default" w:ascii="宋体" w:hAnsi="Times New Roman" w:eastAsia="Times New Roman"/>
          <w:b w:val="0"/>
          <w:bCs/>
          <w:color w:val="auto"/>
          <w:position w:val="0"/>
          <w:sz w:val="21"/>
          <w:szCs w:val="21"/>
        </w:rPr>
        <w:t>提供位于创业园内的物业管理用房</w:t>
      </w:r>
      <w:r>
        <w:rPr>
          <w:rFonts w:hint="default" w:ascii="宋体" w:hAnsi="宋体" w:eastAsia="宋体"/>
          <w:b w:val="0"/>
          <w:bCs/>
          <w:color w:val="auto"/>
          <w:position w:val="0"/>
          <w:sz w:val="21"/>
          <w:szCs w:val="21"/>
        </w:rPr>
        <w:t>1——2</w:t>
      </w:r>
      <w:r>
        <w:rPr>
          <w:rFonts w:hint="default" w:ascii="宋体" w:hAnsi="Times New Roman" w:eastAsia="Times New Roman"/>
          <w:b w:val="0"/>
          <w:bCs/>
          <w:color w:val="auto"/>
          <w:position w:val="0"/>
          <w:sz w:val="21"/>
          <w:szCs w:val="21"/>
        </w:rPr>
        <w:t>间，不提供住宿用房。</w:t>
      </w:r>
    </w:p>
    <w:p>
      <w:pPr>
        <w:numPr>
          <w:ilvl w:val="0"/>
          <w:numId w:val="0"/>
        </w:numPr>
        <w:autoSpaceDE/>
        <w:autoSpaceDN/>
        <w:snapToGrid w:val="0"/>
        <w:spacing w:before="0" w:after="160" w:line="360" w:lineRule="auto"/>
        <w:ind w:right="0" w:firstLine="0"/>
        <w:jc w:val="both"/>
        <w:rPr>
          <w:rFonts w:hint="default" w:ascii="宋体" w:hAnsi="Times New Roman" w:eastAsia="Times New Roman"/>
          <w:b w:val="0"/>
          <w:bCs/>
          <w:color w:val="auto"/>
          <w:position w:val="0"/>
          <w:sz w:val="21"/>
          <w:szCs w:val="21"/>
        </w:rPr>
      </w:pPr>
      <w:r>
        <w:rPr>
          <w:rFonts w:hint="default" w:ascii="宋体" w:hAnsi="Times New Roman" w:eastAsia="Times New Roman"/>
          <w:b w:val="0"/>
          <w:bCs/>
          <w:color w:val="auto"/>
          <w:position w:val="0"/>
          <w:sz w:val="21"/>
          <w:szCs w:val="21"/>
        </w:rPr>
        <w:t>（</w:t>
      </w:r>
      <w:r>
        <w:rPr>
          <w:rFonts w:hint="default" w:ascii="宋体" w:hAnsi="宋体" w:eastAsia="宋体"/>
          <w:b w:val="0"/>
          <w:bCs/>
          <w:color w:val="auto"/>
          <w:position w:val="0"/>
          <w:sz w:val="21"/>
          <w:szCs w:val="21"/>
        </w:rPr>
        <w:t>2</w:t>
      </w:r>
      <w:r>
        <w:rPr>
          <w:rFonts w:hint="default" w:ascii="宋体" w:hAnsi="Times New Roman" w:eastAsia="Times New Roman"/>
          <w:b w:val="0"/>
          <w:bCs/>
          <w:color w:val="auto"/>
          <w:position w:val="0"/>
          <w:sz w:val="21"/>
          <w:szCs w:val="21"/>
        </w:rPr>
        <w:t>）清洁卫生、石材</w:t>
      </w:r>
      <w:r>
        <w:rPr>
          <w:rFonts w:hint="default" w:ascii="Times New Roman" w:hAnsi="Times New Roman" w:eastAsia="Times New Roman"/>
          <w:b w:val="0"/>
          <w:bCs/>
          <w:color w:val="auto"/>
          <w:position w:val="0"/>
          <w:sz w:val="21"/>
          <w:szCs w:val="21"/>
        </w:rPr>
        <w:t>和绿化</w:t>
      </w:r>
      <w:r>
        <w:rPr>
          <w:rFonts w:hint="default" w:ascii="宋体" w:hAnsi="Times New Roman" w:eastAsia="Times New Roman"/>
          <w:b w:val="0"/>
          <w:bCs/>
          <w:color w:val="auto"/>
          <w:position w:val="0"/>
          <w:sz w:val="21"/>
          <w:szCs w:val="21"/>
        </w:rPr>
        <w:t>养护、机械设备、药水、药剂及手用工具由采购方</w:t>
      </w:r>
      <w:r>
        <w:rPr>
          <w:rFonts w:hint="default" w:ascii="宋体" w:hAnsi="Times New Roman" w:eastAsia="Times New Roman"/>
          <w:b w:val="0"/>
          <w:bCs/>
          <w:color w:val="auto"/>
          <w:position w:val="0"/>
          <w:sz w:val="21"/>
          <w:szCs w:val="21"/>
        </w:rPr>
        <w:t>承担。</w:t>
      </w:r>
    </w:p>
    <w:p>
      <w:pPr>
        <w:numPr>
          <w:ilvl w:val="0"/>
          <w:numId w:val="0"/>
        </w:numPr>
        <w:autoSpaceDE/>
        <w:autoSpaceDN/>
        <w:snapToGrid w:val="0"/>
        <w:spacing w:before="0" w:after="160" w:line="360" w:lineRule="auto"/>
        <w:ind w:right="0" w:firstLine="0"/>
        <w:jc w:val="both"/>
        <w:rPr>
          <w:rFonts w:hint="default" w:ascii="宋体" w:hAnsi="宋体" w:eastAsia="宋体"/>
          <w:b/>
          <w:color w:val="auto"/>
          <w:position w:val="0"/>
          <w:sz w:val="21"/>
          <w:szCs w:val="21"/>
        </w:rPr>
      </w:pPr>
      <w:r>
        <w:rPr>
          <w:rFonts w:hint="default" w:ascii="宋体" w:hAnsi="Times New Roman" w:eastAsia="Times New Roman"/>
          <w:b w:val="0"/>
          <w:bCs/>
          <w:color w:val="auto"/>
          <w:position w:val="0"/>
          <w:sz w:val="21"/>
          <w:szCs w:val="21"/>
        </w:rPr>
        <w:t>（</w:t>
      </w:r>
      <w:r>
        <w:rPr>
          <w:rFonts w:hint="default" w:ascii="宋体" w:hAnsi="宋体" w:eastAsia="宋体"/>
          <w:b w:val="0"/>
          <w:bCs/>
          <w:color w:val="auto"/>
          <w:position w:val="0"/>
          <w:sz w:val="21"/>
          <w:szCs w:val="21"/>
        </w:rPr>
        <w:t>3</w:t>
      </w:r>
      <w:r>
        <w:rPr>
          <w:rFonts w:hint="default" w:ascii="宋体" w:hAnsi="Times New Roman" w:eastAsia="Times New Roman"/>
          <w:b w:val="0"/>
          <w:bCs/>
          <w:color w:val="auto"/>
          <w:position w:val="0"/>
          <w:sz w:val="21"/>
          <w:szCs w:val="21"/>
        </w:rPr>
        <w:t>）卫生纸、洗手液、电灯泡、日光灯管等日常消耗品及维修零配件由采购方提供。</w:t>
      </w:r>
    </w:p>
    <w:p>
      <w:pPr>
        <w:numPr>
          <w:ilvl w:val="0"/>
          <w:numId w:val="0"/>
        </w:numPr>
        <w:autoSpaceDE/>
        <w:autoSpaceDN/>
        <w:snapToGrid w:val="0"/>
        <w:spacing w:before="0" w:after="160" w:line="360" w:lineRule="auto"/>
        <w:ind w:right="0" w:firstLine="0"/>
        <w:jc w:val="both"/>
        <w:rPr>
          <w:rFonts w:hint="default" w:ascii="宋体" w:hAnsi="Times New Roman" w:eastAsia="Times New Roman"/>
          <w:b w:val="0"/>
          <w:bCs/>
          <w:color w:val="auto"/>
          <w:position w:val="0"/>
          <w:sz w:val="21"/>
          <w:szCs w:val="21"/>
        </w:rPr>
      </w:pPr>
      <w:r>
        <w:rPr>
          <w:rFonts w:hint="default" w:ascii="宋体" w:hAnsi="Times New Roman" w:eastAsia="Times New Roman"/>
          <w:b w:val="0"/>
          <w:bCs/>
          <w:color w:val="auto"/>
          <w:position w:val="0"/>
          <w:sz w:val="21"/>
          <w:szCs w:val="21"/>
        </w:rPr>
        <w:t xml:space="preserve"> (4) 电梯、消控设备、高配房年检、维保工作由采购方另行委托第三方负责</w:t>
      </w:r>
    </w:p>
    <w:p>
      <w:pPr>
        <w:numPr>
          <w:ilvl w:val="0"/>
          <w:numId w:val="0"/>
        </w:numPr>
        <w:autoSpaceDE/>
        <w:autoSpaceDN/>
        <w:snapToGrid w:val="0"/>
        <w:spacing w:before="0" w:after="160" w:line="360" w:lineRule="auto"/>
        <w:ind w:right="0" w:firstLine="0"/>
        <w:jc w:val="both"/>
        <w:rPr>
          <w:rFonts w:hint="default" w:ascii="宋体" w:hAnsi="Times New Roman" w:eastAsia="Times New Roman"/>
          <w:b w:val="0"/>
          <w:bCs/>
          <w:color w:val="auto"/>
          <w:position w:val="0"/>
          <w:sz w:val="21"/>
          <w:szCs w:val="21"/>
        </w:rPr>
      </w:pPr>
      <w:r>
        <w:rPr>
          <w:rFonts w:hint="default" w:ascii="宋体" w:hAnsi="Times New Roman" w:eastAsia="Times New Roman"/>
          <w:b w:val="0"/>
          <w:bCs/>
          <w:color w:val="auto"/>
          <w:position w:val="0"/>
          <w:sz w:val="21"/>
          <w:szCs w:val="21"/>
        </w:rPr>
        <w:t>（5）办公室绿色植物更换费用由采购方承担</w:t>
      </w:r>
    </w:p>
    <w:p>
      <w:pPr>
        <w:numPr>
          <w:ilvl w:val="0"/>
          <w:numId w:val="0"/>
        </w:numPr>
        <w:autoSpaceDE/>
        <w:autoSpaceDN/>
        <w:snapToGrid w:val="0"/>
        <w:spacing w:before="0" w:after="160" w:line="360" w:lineRule="auto"/>
        <w:ind w:right="0" w:firstLine="0"/>
        <w:jc w:val="both"/>
        <w:rPr>
          <w:rFonts w:hint="default" w:ascii="宋体" w:hAnsi="Times New Roman" w:eastAsia="Times New Roman"/>
          <w:b w:val="0"/>
          <w:bCs/>
          <w:color w:val="auto"/>
          <w:position w:val="0"/>
          <w:sz w:val="21"/>
          <w:szCs w:val="21"/>
        </w:rPr>
      </w:pPr>
      <w:r>
        <w:rPr>
          <w:rFonts w:hint="default" w:ascii="宋体" w:hAnsi="Times New Roman" w:eastAsia="Times New Roman"/>
          <w:b w:val="0"/>
          <w:bCs/>
          <w:color w:val="auto"/>
          <w:position w:val="0"/>
          <w:sz w:val="21"/>
          <w:szCs w:val="21"/>
        </w:rPr>
        <w:t>（6）水箱清洗和水质检测费用由采购方承担</w:t>
      </w:r>
    </w:p>
    <w:p>
      <w:pPr>
        <w:numPr>
          <w:ilvl w:val="0"/>
          <w:numId w:val="0"/>
        </w:numPr>
        <w:autoSpaceDE/>
        <w:autoSpaceDN/>
        <w:snapToGrid w:val="0"/>
        <w:spacing w:before="0" w:after="160" w:line="360" w:lineRule="auto"/>
        <w:ind w:right="0" w:firstLine="0"/>
        <w:jc w:val="both"/>
        <w:rPr>
          <w:rFonts w:hint="default" w:ascii="宋体" w:hAnsi="Times New Roman" w:eastAsia="Times New Roman"/>
          <w:b w:val="0"/>
          <w:bCs/>
          <w:color w:val="auto"/>
          <w:position w:val="0"/>
          <w:sz w:val="21"/>
          <w:szCs w:val="21"/>
        </w:rPr>
      </w:pPr>
      <w:r>
        <w:rPr>
          <w:rFonts w:hint="default" w:ascii="宋体" w:hAnsi="Times New Roman" w:eastAsia="Times New Roman"/>
          <w:b w:val="0"/>
          <w:bCs/>
          <w:color w:val="auto"/>
          <w:position w:val="0"/>
          <w:sz w:val="21"/>
          <w:szCs w:val="21"/>
        </w:rPr>
        <w:t>（7）节日及重大活动及领导来访时，如需进行特殊的环境布置，费用由采购方另行承担</w:t>
      </w:r>
    </w:p>
    <w:p>
      <w:pPr>
        <w:numPr>
          <w:ilvl w:val="0"/>
          <w:numId w:val="0"/>
        </w:numPr>
        <w:autoSpaceDE/>
        <w:autoSpaceDN/>
        <w:snapToGrid w:val="0"/>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4、服务内容和要求</w:t>
      </w:r>
    </w:p>
    <w:p>
      <w:pPr>
        <w:keepNext w:val="0"/>
        <w:keepLines w:val="0"/>
        <w:pageBreakBefore w:val="0"/>
        <w:widowControl/>
        <w:numPr>
          <w:ilvl w:val="0"/>
          <w:numId w:val="0"/>
        </w:numPr>
        <w:kinsoku/>
        <w:wordWrap/>
        <w:overflowPunct/>
        <w:topLinePunct w:val="0"/>
        <w:autoSpaceDE/>
        <w:autoSpaceDN/>
        <w:bidi w:val="0"/>
        <w:adjustRightInd/>
        <w:snapToGrid w:val="0"/>
        <w:spacing w:after="160" w:line="360" w:lineRule="auto"/>
        <w:ind w:left="0" w:leftChars="0" w:right="0" w:rightChars="0" w:firstLine="420" w:firstLineChars="200"/>
        <w:jc w:val="both"/>
        <w:textAlignment w:val="auto"/>
        <w:outlineLvl w:val="9"/>
        <w:rPr>
          <w:rFonts w:hint="default" w:ascii="宋体" w:hAnsi="宋体" w:eastAsia="宋体"/>
          <w:color w:val="auto"/>
          <w:position w:val="0"/>
          <w:sz w:val="21"/>
          <w:szCs w:val="21"/>
        </w:rPr>
      </w:pPr>
      <w:r>
        <w:rPr>
          <w:rFonts w:hint="default" w:ascii="宋体" w:hAnsi="宋体" w:eastAsia="宋体"/>
          <w:color w:val="auto"/>
          <w:position w:val="0"/>
          <w:sz w:val="21"/>
          <w:szCs w:val="21"/>
        </w:rPr>
        <w:t>中标人应严格遵守园区消防安全目标管理责任书等有关规定，负责维护园区公共秩序、安全防范等事项，负责物业公共设施设备的运行、维护、养护和管理，负责物业公共区域的清洁卫生、垃圾的收集中转以及与污水管道的疏通。具体包括：环境卫生管理；传达、保安、秩序管理和消防、监控设施维护管理；给排水设备运行维护；供电设备管理维护；创业园日常维护保养；办公室绿色植物摆放、维护；空调维护保养等。内容如下：</w:t>
      </w:r>
    </w:p>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区域内传达、保安、秩序管理和消防、监控设施维护管理：包括人员进出通报、登记，物品进出查证，园内各单位信笺报纸的收发工作；检查每个楼层的公共设施、设备。保证消防自动报警系统、监控系统、对讲系统设备的正常运行，消防设施、器材配备维护，及时发现和处理各种安全和事故隐患。对突发事件有应急预案，完善责任制。</w:t>
      </w:r>
    </w:p>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物业管理区域内公共设施、设备及创业园日常维护保养：主要包括水、电、风、消防和安全监控等系统。对房屋承重主体结构部位、屋面、外墙面、公共通道、楼梯及楼道墙面、门窗、给排水管道、楼道灯进行日常维护。对供配电设备、机电设备和水泵、消防设施管网、闭路电视监控系统、给排水、公共排污设施进行定期维护。由中标人具体制订突发事件的各项预案，负责突发事件和异常情况处理。</w:t>
      </w:r>
    </w:p>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）保洁服务：创业园外围、大厅、各楼层、层面公共区域、楼梯等的硬地面及会议室的推尘、湿拖（推）、玻璃清洁、金属件（不锈钢、铜）清洁上光、地面清洗打蜡抛光、软家具清洗等。</w:t>
      </w:r>
    </w:p>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4</w:t>
      </w:r>
      <w:r>
        <w:rPr>
          <w:rFonts w:hint="default" w:ascii="宋体" w:hAnsi="Times New Roman" w:eastAsia="Times New Roman"/>
          <w:color w:val="auto"/>
          <w:position w:val="0"/>
          <w:sz w:val="21"/>
          <w:szCs w:val="21"/>
        </w:rPr>
        <w:t>）绿化养护：根据要求对大厅及办公区进行绿叶植物和花卉的摆放、养护和定期更换（如遇枯黄及招标人要求等情况应及时通知绿化公司更换），每天保持花卉盆景生长良好；遇节日和重大活动及领导来访时，要按招标人需求进行摆放</w:t>
      </w:r>
      <w:r>
        <w:rPr>
          <w:rFonts w:hint="default" w:ascii="宋体" w:hAnsi="宋体" w:eastAsia="宋体"/>
          <w:color w:val="auto"/>
          <w:position w:val="0"/>
          <w:sz w:val="21"/>
          <w:szCs w:val="21"/>
        </w:rPr>
        <w:t>。</w:t>
      </w:r>
    </w:p>
    <w:p>
      <w:pPr>
        <w:pStyle w:val="2"/>
        <w:numPr>
          <w:ilvl w:val="0"/>
          <w:numId w:val="0"/>
        </w:numPr>
        <w:autoSpaceDE/>
        <w:autoSpaceDN/>
        <w:spacing w:before="0" w:after="160" w:line="360" w:lineRule="auto"/>
        <w:ind w:right="0" w:firstLine="0"/>
        <w:jc w:val="both"/>
        <w:outlineLvl w:val="2"/>
        <w:rPr>
          <w:rFonts w:hint="default" w:ascii="Times New Roman" w:hAnsi="Times New Roman" w:eastAsia="Times New Roman"/>
          <w:b/>
          <w:color w:val="auto"/>
          <w:position w:val="0"/>
          <w:sz w:val="21"/>
          <w:szCs w:val="21"/>
        </w:rPr>
      </w:pPr>
      <w:r>
        <w:rPr>
          <w:rFonts w:hint="default" w:ascii="Times New Roman" w:hAnsi="Times New Roman" w:eastAsia="Times New Roman"/>
          <w:b/>
          <w:color w:val="auto"/>
          <w:position w:val="0"/>
          <w:sz w:val="21"/>
          <w:szCs w:val="21"/>
        </w:rPr>
        <w:t>2.2保安服务(列出年费用标准)</w:t>
      </w:r>
    </w:p>
    <w:tbl>
      <w:tblPr>
        <w:tblStyle w:val="5"/>
        <w:tblW w:w="9680" w:type="dxa"/>
        <w:tblInd w:w="93" w:type="dxa"/>
        <w:tblLayout w:type="fixed"/>
        <w:tblCellMar>
          <w:top w:w="0" w:type="dxa"/>
          <w:left w:w="108" w:type="dxa"/>
          <w:bottom w:w="0" w:type="dxa"/>
          <w:right w:w="108" w:type="dxa"/>
        </w:tblCellMar>
      </w:tblPr>
      <w:tblGrid>
        <w:gridCol w:w="880"/>
        <w:gridCol w:w="960"/>
        <w:gridCol w:w="7840"/>
      </w:tblGrid>
      <w:tr>
        <w:tblPrEx>
          <w:tblLayout w:type="fixed"/>
          <w:tblCellMar>
            <w:top w:w="0" w:type="dxa"/>
            <w:left w:w="108" w:type="dxa"/>
            <w:bottom w:w="0" w:type="dxa"/>
            <w:right w:w="108" w:type="dxa"/>
          </w:tblCellMar>
        </w:tblPrEx>
        <w:trPr>
          <w:trHeight w:val="499" w:hRule="atLeast"/>
        </w:trPr>
        <w:tc>
          <w:tcPr>
            <w:tcW w:w="184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项目</w:t>
            </w:r>
          </w:p>
        </w:tc>
        <w:tc>
          <w:tcPr>
            <w:tcW w:w="78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服务内容、标准及要求</w:t>
            </w:r>
          </w:p>
        </w:tc>
      </w:tr>
      <w:tr>
        <w:tblPrEx>
          <w:tblLayout w:type="fixed"/>
          <w:tblCellMar>
            <w:top w:w="0" w:type="dxa"/>
            <w:left w:w="108" w:type="dxa"/>
            <w:bottom w:w="0" w:type="dxa"/>
            <w:right w:w="108" w:type="dxa"/>
          </w:tblCellMar>
        </w:tblPrEx>
        <w:trPr>
          <w:trHeight w:val="499" w:hRule="atLeast"/>
        </w:trPr>
        <w:tc>
          <w:tcPr>
            <w:tcW w:w="1840" w:type="dxa"/>
            <w:gridSpan w:val="2"/>
            <w:tcBorders>
              <w:top w:val="single" w:color="auto" w:sz="4" w:space="0"/>
              <w:left w:val="single" w:color="auto" w:sz="4" w:space="0"/>
              <w:bottom w:val="single" w:color="auto" w:sz="4" w:space="0"/>
              <w:right w:val="single" w:color="000000"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管理目标</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对秩序维护服务的满意率达到</w:t>
            </w:r>
            <w:r>
              <w:rPr>
                <w:rFonts w:hint="default" w:ascii="宋体" w:hAnsi="宋体" w:eastAsia="宋体"/>
                <w:color w:val="auto"/>
                <w:position w:val="0"/>
                <w:sz w:val="21"/>
                <w:szCs w:val="21"/>
              </w:rPr>
              <w:t>96%</w:t>
            </w:r>
            <w:r>
              <w:rPr>
                <w:rFonts w:hint="default" w:ascii="宋体" w:hAnsi="Times New Roman" w:eastAsia="Times New Roman"/>
                <w:color w:val="auto"/>
                <w:position w:val="0"/>
                <w:sz w:val="21"/>
                <w:szCs w:val="21"/>
              </w:rPr>
              <w:t>以上；不得发生治安责任事故</w:t>
            </w:r>
          </w:p>
        </w:tc>
      </w:tr>
      <w:tr>
        <w:tblPrEx>
          <w:tblLayout w:type="fixed"/>
          <w:tblCellMar>
            <w:top w:w="0" w:type="dxa"/>
            <w:left w:w="108" w:type="dxa"/>
            <w:bottom w:w="0" w:type="dxa"/>
            <w:right w:w="108" w:type="dxa"/>
          </w:tblCellMar>
        </w:tblPrEx>
        <w:trPr>
          <w:trHeight w:val="499" w:hRule="atLeast"/>
        </w:trPr>
        <w:tc>
          <w:tcPr>
            <w:tcW w:w="880"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秩序</w:t>
            </w:r>
          </w:p>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管理</w:t>
            </w: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门岗管理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保持门岗值班室、大门出入口环境卫生干净整洁；</w:t>
            </w:r>
            <w:r>
              <w:rPr>
                <w:rFonts w:hint="default" w:ascii="宋体" w:hAnsi="Times New Roman" w:eastAsia="Times New Roman"/>
                <w:color w:val="auto"/>
                <w:position w:val="0"/>
                <w:sz w:val="21"/>
                <w:szCs w:val="21"/>
                <w:shd w:val="clear" w:color="000000" w:fill="FFFFFF"/>
              </w:rPr>
              <w:t>人员统一着装，设专人</w:t>
            </w:r>
            <w:r>
              <w:rPr>
                <w:rFonts w:hint="default" w:ascii="宋体" w:hAnsi="Arial" w:eastAsia="Arial"/>
                <w:color w:val="auto"/>
                <w:position w:val="0"/>
                <w:sz w:val="21"/>
                <w:szCs w:val="21"/>
                <w:shd w:val="clear" w:color="000000" w:fill="FFFFFF"/>
              </w:rPr>
              <w:t xml:space="preserve"> 24</w:t>
            </w:r>
            <w:r>
              <w:rPr>
                <w:rFonts w:hint="default" w:ascii="宋体" w:hAnsi="Times New Roman" w:eastAsia="Times New Roman"/>
                <w:color w:val="auto"/>
                <w:position w:val="0"/>
                <w:sz w:val="21"/>
                <w:szCs w:val="21"/>
                <w:shd w:val="clear" w:color="000000" w:fill="FFFFFF"/>
              </w:rPr>
              <w:t>小时值勤，其中主出入口不少于</w:t>
            </w:r>
            <w:r>
              <w:rPr>
                <w:rFonts w:hint="default" w:ascii="宋体" w:hAnsi="Arial" w:eastAsia="Arial"/>
                <w:color w:val="auto"/>
                <w:position w:val="0"/>
                <w:sz w:val="21"/>
                <w:szCs w:val="21"/>
                <w:shd w:val="clear" w:color="000000" w:fill="FFFFFF"/>
              </w:rPr>
              <w:t>4</w:t>
            </w:r>
            <w:r>
              <w:rPr>
                <w:rFonts w:hint="default" w:ascii="宋体" w:hAnsi="Times New Roman" w:eastAsia="Times New Roman"/>
                <w:color w:val="auto"/>
                <w:position w:val="0"/>
                <w:sz w:val="21"/>
                <w:szCs w:val="21"/>
                <w:shd w:val="clear" w:color="000000" w:fill="FFFFFF"/>
              </w:rPr>
              <w:t>小时立岗值勤。对校外机动车出入验证；对外来机动车登记换证。</w:t>
            </w:r>
          </w:p>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负责收发校内报刊、信件、快递等工作，并做好相关登记。</w:t>
            </w:r>
          </w:p>
        </w:tc>
      </w:tr>
      <w:tr>
        <w:tblPrEx>
          <w:tblLayout w:type="fixed"/>
          <w:tblCellMar>
            <w:top w:w="0" w:type="dxa"/>
            <w:left w:w="108" w:type="dxa"/>
            <w:bottom w:w="0" w:type="dxa"/>
            <w:right w:w="108" w:type="dxa"/>
          </w:tblCellMar>
        </w:tblPrEx>
        <w:trPr>
          <w:trHeight w:val="450"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人流、车流管理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建立科学的标识系统、引导车辆、人员各行其道。</w:t>
            </w:r>
          </w:p>
        </w:tc>
      </w:tr>
      <w:tr>
        <w:tblPrEx>
          <w:tblLayout w:type="fixed"/>
          <w:tblCellMar>
            <w:top w:w="0" w:type="dxa"/>
            <w:left w:w="108" w:type="dxa"/>
            <w:bottom w:w="0" w:type="dxa"/>
            <w:right w:w="108" w:type="dxa"/>
          </w:tblCellMar>
        </w:tblPrEx>
        <w:trPr>
          <w:trHeight w:val="390"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vMerge w:val="continue"/>
            <w:tcBorders>
              <w:top w:val="nil"/>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shd w:val="clear" w:color="000000" w:fill="FFFFFF"/>
              </w:rPr>
              <w:t>对出入校内的机动车辆进行引导，行驶有序并停放在指定位置。非机动车辆停放整齐。</w:t>
            </w:r>
            <w:r>
              <w:rPr>
                <w:rFonts w:hint="default" w:ascii="宋体" w:hAnsi="Times New Roman" w:eastAsia="Times New Roman"/>
                <w:color w:val="auto"/>
                <w:position w:val="0"/>
                <w:sz w:val="21"/>
                <w:szCs w:val="21"/>
              </w:rPr>
              <w:t>落实区域内车辆行驶、停放的引导管理。负责机动车辆收费管理。</w:t>
            </w:r>
          </w:p>
        </w:tc>
      </w:tr>
      <w:tr>
        <w:tblPrEx>
          <w:tblLayout w:type="fixed"/>
          <w:tblCellMar>
            <w:top w:w="0" w:type="dxa"/>
            <w:left w:w="108" w:type="dxa"/>
            <w:bottom w:w="0" w:type="dxa"/>
            <w:right w:w="108" w:type="dxa"/>
          </w:tblCellMar>
        </w:tblPrEx>
        <w:trPr>
          <w:trHeight w:val="499"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登记与放行</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外来办事人员一律进行登记，经值班人员与所拜访部门或人员联系确认后方可放行。</w:t>
            </w:r>
          </w:p>
        </w:tc>
      </w:tr>
      <w:tr>
        <w:tblPrEx>
          <w:tblLayout w:type="fixed"/>
          <w:tblCellMar>
            <w:top w:w="0" w:type="dxa"/>
            <w:left w:w="108" w:type="dxa"/>
            <w:bottom w:w="0" w:type="dxa"/>
            <w:right w:w="108" w:type="dxa"/>
          </w:tblCellMar>
        </w:tblPrEx>
        <w:trPr>
          <w:trHeight w:val="795"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迎宾与引导</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客人坐车到来时为其打开车门，并致问候词；为询问的客人解答或指引，有参观团队或特别客人到来时引导他们从指定的路线进入；帮助客人提物品并引领到电梯口。</w:t>
            </w:r>
          </w:p>
        </w:tc>
      </w:tr>
      <w:tr>
        <w:tblPrEx>
          <w:tblLayout w:type="fixed"/>
          <w:tblCellMar>
            <w:top w:w="0" w:type="dxa"/>
            <w:left w:w="108" w:type="dxa"/>
            <w:bottom w:w="0" w:type="dxa"/>
            <w:right w:w="108" w:type="dxa"/>
          </w:tblCellMar>
        </w:tblPrEx>
        <w:trPr>
          <w:trHeight w:val="570"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劝阻与警戒</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对衣履不整洁，坦胸露背者，携带动物或危险物品者，未经联系的推销者，公共场所大声喧哗者等，加强警戒，把好治安管理第一关。</w:t>
            </w:r>
          </w:p>
        </w:tc>
      </w:tr>
      <w:tr>
        <w:tblPrEx>
          <w:tblLayout w:type="fixed"/>
          <w:tblCellMar>
            <w:top w:w="0" w:type="dxa"/>
            <w:left w:w="108" w:type="dxa"/>
            <w:bottom w:w="0" w:type="dxa"/>
            <w:right w:w="108" w:type="dxa"/>
          </w:tblCellMar>
        </w:tblPrEx>
        <w:trPr>
          <w:trHeight w:val="600"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停放管理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各种车辆必须遵守交通和车辆停放规定，按指定地点停放，做到停放有序，大楼区域门前不得长时间停车，保持道路畅通。</w:t>
            </w:r>
          </w:p>
        </w:tc>
      </w:tr>
      <w:tr>
        <w:tblPrEx>
          <w:tblLayout w:type="fixed"/>
          <w:tblCellMar>
            <w:top w:w="0" w:type="dxa"/>
            <w:left w:w="108" w:type="dxa"/>
            <w:bottom w:w="0" w:type="dxa"/>
            <w:right w:w="108" w:type="dxa"/>
          </w:tblCellMar>
        </w:tblPrEx>
        <w:trPr>
          <w:trHeight w:val="555"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疏导管理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采用标志引导和人员引导相结合的方式，引导车辆按标志指示的方向行驶，人员引导要注意礼貌、礼节，动作要规范，防止车辆堵塞。</w:t>
            </w:r>
          </w:p>
        </w:tc>
      </w:tr>
      <w:tr>
        <w:tblPrEx>
          <w:tblLayout w:type="fixed"/>
          <w:tblCellMar>
            <w:top w:w="0" w:type="dxa"/>
            <w:left w:w="108" w:type="dxa"/>
            <w:bottom w:w="0" w:type="dxa"/>
            <w:right w:w="108" w:type="dxa"/>
          </w:tblCellMar>
        </w:tblPrEx>
        <w:trPr>
          <w:trHeight w:val="600" w:hRule="atLeast"/>
        </w:trPr>
        <w:tc>
          <w:tcPr>
            <w:tcW w:w="880" w:type="dxa"/>
            <w:vMerge w:val="continue"/>
            <w:tcBorders>
              <w:top w:val="nil"/>
              <w:left w:val="single" w:color="auto" w:sz="4" w:space="0"/>
              <w:bottom w:val="single" w:color="auto" w:sz="4" w:space="0"/>
              <w:right w:val="single" w:color="auto" w:sz="4" w:space="0"/>
            </w:tcBorders>
            <w:vAlign w:val="center"/>
          </w:tcPr>
          <w:p/>
        </w:tc>
        <w:tc>
          <w:tcPr>
            <w:tcW w:w="96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放行管理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车辆载物外出，必须持有手续齐全的出门单，经检验手续齐全，物品及数量相符合后才放行。</w:t>
            </w:r>
          </w:p>
        </w:tc>
      </w:tr>
      <w:tr>
        <w:tblPrEx>
          <w:tblLayout w:type="fixed"/>
          <w:tblCellMar>
            <w:top w:w="0" w:type="dxa"/>
            <w:left w:w="108" w:type="dxa"/>
            <w:bottom w:w="0" w:type="dxa"/>
            <w:right w:w="108" w:type="dxa"/>
          </w:tblCellMar>
        </w:tblPrEx>
        <w:trPr>
          <w:trHeight w:val="570" w:hRule="atLeast"/>
        </w:trPr>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巡逻管理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shd w:val="clear" w:color="000000" w:fill="FFFFFF"/>
              </w:rPr>
              <w:t>按照规定路线和时间进行</w:t>
            </w:r>
            <w:r>
              <w:rPr>
                <w:rFonts w:hint="default" w:ascii="宋体" w:hAnsi="Arial" w:eastAsia="Arial"/>
                <w:color w:val="auto"/>
                <w:position w:val="0"/>
                <w:sz w:val="21"/>
                <w:szCs w:val="21"/>
                <w:shd w:val="clear" w:color="000000" w:fill="FFFFFF"/>
              </w:rPr>
              <w:t>24</w:t>
            </w:r>
            <w:r>
              <w:rPr>
                <w:rFonts w:hint="default" w:ascii="宋体" w:hAnsi="Times New Roman" w:eastAsia="Times New Roman"/>
                <w:color w:val="auto"/>
                <w:position w:val="0"/>
                <w:sz w:val="21"/>
                <w:szCs w:val="21"/>
                <w:shd w:val="clear" w:color="000000" w:fill="FFFFFF"/>
              </w:rPr>
              <w:t>小时不间断巡逻，不少于</w:t>
            </w:r>
            <w:r>
              <w:rPr>
                <w:rFonts w:hint="default" w:ascii="宋体" w:hAnsi="Arial" w:eastAsia="Arial"/>
                <w:color w:val="auto"/>
                <w:position w:val="0"/>
                <w:sz w:val="21"/>
                <w:szCs w:val="21"/>
                <w:shd w:val="clear" w:color="000000" w:fill="FFFFFF"/>
              </w:rPr>
              <w:t xml:space="preserve"> 12</w:t>
            </w:r>
            <w:r>
              <w:rPr>
                <w:rFonts w:hint="default" w:ascii="宋体" w:hAnsi="Times New Roman" w:eastAsia="Times New Roman"/>
                <w:color w:val="auto"/>
                <w:position w:val="0"/>
                <w:sz w:val="21"/>
                <w:szCs w:val="21"/>
                <w:shd w:val="clear" w:color="000000" w:fill="FFFFFF"/>
              </w:rPr>
              <w:t>次，对校内重点部位每小时巡查一次，并做好巡查记录。巡逻过程中对可疑人员进行询问，发现火警或治安隐患、事故及时报告有关部门。</w:t>
            </w:r>
          </w:p>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节假日期间及夜间每一小时完成楼内各巡逻点的巡逻工作，并做好相应的巡逻登记，如有突发情况，及时报告项目主管。</w:t>
            </w:r>
          </w:p>
        </w:tc>
      </w:tr>
      <w:tr>
        <w:tblPrEx>
          <w:tblLayout w:type="fixed"/>
          <w:tblCellMar>
            <w:top w:w="0" w:type="dxa"/>
            <w:left w:w="108" w:type="dxa"/>
            <w:bottom w:w="0" w:type="dxa"/>
            <w:right w:w="108" w:type="dxa"/>
          </w:tblCellMar>
        </w:tblPrEx>
        <w:trPr>
          <w:trHeight w:val="570"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夜间对整个辖区进行不间断巡逻。检查设备设施有无损坏、有无可疑人员、办公室门窗、灯、空调等是否关闭等等。</w:t>
            </w:r>
          </w:p>
        </w:tc>
      </w:tr>
      <w:tr>
        <w:tblPrEx>
          <w:tblLayout w:type="fixed"/>
          <w:tblCellMar>
            <w:top w:w="0" w:type="dxa"/>
            <w:left w:w="108" w:type="dxa"/>
            <w:bottom w:w="0" w:type="dxa"/>
            <w:right w:w="108" w:type="dxa"/>
          </w:tblCellMar>
        </w:tblPrEx>
        <w:trPr>
          <w:trHeight w:val="570"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消控岗</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小时巡视一次，上岗人员须具备消防相关岗位上岗证、熟练掌握消控设备的操作使用方法。</w:t>
            </w:r>
          </w:p>
        </w:tc>
      </w:tr>
      <w:tr>
        <w:tblPrEx>
          <w:tblLayout w:type="fixed"/>
          <w:tblCellMar>
            <w:top w:w="0" w:type="dxa"/>
            <w:left w:w="108" w:type="dxa"/>
            <w:bottom w:w="0" w:type="dxa"/>
            <w:right w:w="108" w:type="dxa"/>
          </w:tblCellMar>
        </w:tblPrEx>
        <w:trPr>
          <w:trHeight w:val="499" w:hRule="atLeast"/>
        </w:trPr>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消防监控中心管理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shd w:val="clear" w:color="000000" w:fill="FFFFFF"/>
              </w:rPr>
              <w:t>实施</w:t>
            </w:r>
            <w:r>
              <w:rPr>
                <w:rFonts w:hint="default" w:ascii="宋体" w:hAnsi="Arial" w:eastAsia="Arial"/>
                <w:color w:val="auto"/>
                <w:position w:val="0"/>
                <w:sz w:val="21"/>
                <w:szCs w:val="21"/>
                <w:shd w:val="clear" w:color="000000" w:fill="FFFFFF"/>
              </w:rPr>
              <w:t xml:space="preserve"> 24</w:t>
            </w:r>
            <w:r>
              <w:rPr>
                <w:rFonts w:hint="default" w:ascii="宋体" w:hAnsi="Times New Roman" w:eastAsia="Times New Roman"/>
                <w:color w:val="auto"/>
                <w:position w:val="0"/>
                <w:sz w:val="21"/>
                <w:szCs w:val="21"/>
                <w:shd w:val="clear" w:color="000000" w:fill="FFFFFF"/>
              </w:rPr>
              <w:t>小时安全监控并及时记录</w:t>
            </w:r>
          </w:p>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发现异常情况及时报告，并做好记录和录像。</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设备发生故障时，及时进行报修。</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每三个月对火灾报警进行一次功能检查并启动消防风机、水泵一次，并做好记录。</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保持地面、墙壁、设备无积尘、水渍、油渍。</w:t>
            </w:r>
          </w:p>
        </w:tc>
      </w:tr>
      <w:tr>
        <w:tblPrEx>
          <w:tblLayout w:type="fixed"/>
          <w:tblCellMar>
            <w:top w:w="0" w:type="dxa"/>
            <w:left w:w="108" w:type="dxa"/>
            <w:bottom w:w="0" w:type="dxa"/>
            <w:right w:w="108" w:type="dxa"/>
          </w:tblCellMar>
        </w:tblPrEx>
        <w:trPr>
          <w:trHeight w:val="499" w:hRule="atLeast"/>
        </w:trPr>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零星施工安全管理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施工单位人员必须接受秩序管理部安全教育，办理临时出入凭证。</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施工完毕后，检查施工现场、设备设施及装饰物有无损坏，如有损坏，照价赔偿。</w:t>
            </w:r>
          </w:p>
        </w:tc>
      </w:tr>
      <w:tr>
        <w:tblPrEx>
          <w:tblLayout w:type="fixed"/>
          <w:tblCellMar>
            <w:top w:w="0" w:type="dxa"/>
            <w:left w:w="108" w:type="dxa"/>
            <w:bottom w:w="0" w:type="dxa"/>
            <w:right w:w="108" w:type="dxa"/>
          </w:tblCellMar>
        </w:tblPrEx>
        <w:trPr>
          <w:trHeight w:val="499" w:hRule="atLeast"/>
        </w:trPr>
        <w:tc>
          <w:tcPr>
            <w:tcW w:w="1840" w:type="dxa"/>
            <w:gridSpan w:val="2"/>
            <w:vMerge w:val="restart"/>
            <w:tcBorders>
              <w:top w:val="single" w:color="auto" w:sz="4" w:space="0"/>
              <w:left w:val="single" w:color="auto" w:sz="4" w:space="0"/>
              <w:bottom w:val="single" w:color="auto" w:sz="4" w:space="0"/>
              <w:right w:val="single" w:color="000000"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消防管理</w:t>
            </w: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制定消防应急预案</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管理人员应具备相关消防安全、消防法律知识。</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落实消防责任人对灭火器、应急照明灯、指示灯：每月检查一次，发现损坏或丢失的应如实记录，并报告招标方及时进行填补或更换。</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消防水带：每月检查一次完整无缺，无霉变。</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消防栓：每月巡检一次，检查消防栓箱内各配件是否完整。</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定期不定期向工作人员宣读防火知识，定期对义务消防员进行防火培训。</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确保消防设施设备完好齐全，报警系统准确无误，喷淋系统正常工作。</w:t>
            </w:r>
          </w:p>
        </w:tc>
      </w:tr>
      <w:tr>
        <w:tblPrEx>
          <w:tblLayout w:type="fixed"/>
          <w:tblCellMar>
            <w:top w:w="0" w:type="dxa"/>
            <w:left w:w="108" w:type="dxa"/>
            <w:bottom w:w="0" w:type="dxa"/>
            <w:right w:w="108" w:type="dxa"/>
          </w:tblCellMar>
        </w:tblPrEx>
        <w:trPr>
          <w:trHeight w:val="499" w:hRule="atLeast"/>
        </w:trPr>
        <w:tc>
          <w:tcPr>
            <w:tcW w:w="1840" w:type="dxa"/>
            <w:gridSpan w:val="2"/>
            <w:vMerge w:val="continue"/>
            <w:tcBorders>
              <w:top w:val="single" w:color="auto" w:sz="4" w:space="0"/>
              <w:left w:val="single" w:color="auto" w:sz="4" w:space="0"/>
              <w:bottom w:val="single" w:color="auto" w:sz="4" w:space="0"/>
              <w:right w:val="single" w:color="000000" w:sz="4" w:space="0"/>
            </w:tcBorders>
            <w:vAlign w:val="center"/>
          </w:tcPr>
          <w:p/>
        </w:tc>
        <w:tc>
          <w:tcPr>
            <w:tcW w:w="7840"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每年安排一次消防模拟演练。</w:t>
            </w:r>
          </w:p>
        </w:tc>
      </w:tr>
      <w:tr>
        <w:tblPrEx>
          <w:tblLayout w:type="fixed"/>
          <w:tblCellMar>
            <w:top w:w="0" w:type="dxa"/>
            <w:left w:w="108" w:type="dxa"/>
            <w:bottom w:w="0" w:type="dxa"/>
            <w:right w:w="108" w:type="dxa"/>
          </w:tblCellMar>
        </w:tblPrEx>
        <w:trPr>
          <w:trHeight w:val="499" w:hRule="atLeast"/>
        </w:trPr>
        <w:tc>
          <w:tcPr>
            <w:tcW w:w="1840" w:type="dxa"/>
            <w:gridSpan w:val="2"/>
            <w:tcBorders>
              <w:top w:val="single" w:color="auto" w:sz="4" w:space="0"/>
              <w:left w:val="single" w:color="auto" w:sz="4" w:space="0"/>
              <w:bottom w:val="single" w:color="000000" w:sz="4" w:space="0"/>
              <w:right w:val="single" w:color="000000"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应急方案</w:t>
            </w:r>
          </w:p>
        </w:tc>
        <w:tc>
          <w:tcPr>
            <w:tcW w:w="78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投标方制定消防、台风、暴雨、电梯困人、防盗、寻衅滋事等突发紧急情况应急方案</w:t>
            </w:r>
          </w:p>
        </w:tc>
      </w:tr>
    </w:tbl>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bookmarkStart w:id="0" w:name="_Toc321487974"/>
      <w:bookmarkEnd w:id="0"/>
    </w:p>
    <w:p>
      <w:pPr>
        <w:pStyle w:val="2"/>
        <w:numPr>
          <w:ilvl w:val="0"/>
          <w:numId w:val="0"/>
        </w:numPr>
        <w:autoSpaceDE/>
        <w:autoSpaceDN/>
        <w:spacing w:before="0" w:after="160" w:line="360" w:lineRule="auto"/>
        <w:ind w:right="0" w:firstLine="0"/>
        <w:jc w:val="both"/>
        <w:outlineLvl w:val="2"/>
        <w:rPr>
          <w:rFonts w:hint="default" w:ascii="Times New Roman" w:hAnsi="Times New Roman" w:eastAsia="Times New Roman"/>
          <w:b/>
          <w:color w:val="auto"/>
          <w:position w:val="0"/>
          <w:sz w:val="21"/>
          <w:szCs w:val="21"/>
        </w:rPr>
      </w:pPr>
      <w:bookmarkStart w:id="1" w:name="_Toc329850775"/>
      <w:r>
        <w:rPr>
          <w:rFonts w:hint="default" w:ascii="Times New Roman" w:hAnsi="Times New Roman" w:eastAsia="Times New Roman"/>
          <w:b/>
          <w:color w:val="auto"/>
          <w:position w:val="0"/>
          <w:sz w:val="21"/>
          <w:szCs w:val="21"/>
        </w:rPr>
        <w:t>2.3 保洁</w:t>
      </w:r>
      <w:bookmarkEnd w:id="1"/>
      <w:r>
        <w:rPr>
          <w:rFonts w:hint="default" w:ascii="Times New Roman" w:hAnsi="Times New Roman" w:eastAsia="Times New Roman"/>
          <w:b/>
          <w:color w:val="auto"/>
          <w:position w:val="0"/>
          <w:sz w:val="21"/>
          <w:szCs w:val="21"/>
        </w:rPr>
        <w:t>服务(列出年费用标准)</w:t>
      </w:r>
    </w:p>
    <w:tbl>
      <w:tblPr>
        <w:tblStyle w:val="5"/>
        <w:tblW w:w="9515" w:type="dxa"/>
        <w:jc w:val="center"/>
        <w:tblInd w:w="0" w:type="dxa"/>
        <w:tblLayout w:type="fixed"/>
        <w:tblCellMar>
          <w:top w:w="0" w:type="dxa"/>
          <w:left w:w="10" w:type="dxa"/>
          <w:bottom w:w="0" w:type="dxa"/>
          <w:right w:w="10" w:type="dxa"/>
        </w:tblCellMar>
      </w:tblPr>
      <w:tblGrid>
        <w:gridCol w:w="1094"/>
        <w:gridCol w:w="1302"/>
        <w:gridCol w:w="5857"/>
        <w:gridCol w:w="1262"/>
      </w:tblGrid>
      <w:tr>
        <w:tblPrEx>
          <w:tblLayout w:type="fixed"/>
          <w:tblCellMar>
            <w:top w:w="0" w:type="dxa"/>
            <w:left w:w="10" w:type="dxa"/>
            <w:bottom w:w="0" w:type="dxa"/>
            <w:right w:w="10" w:type="dxa"/>
          </w:tblCellMar>
        </w:tblPrEx>
        <w:trPr>
          <w:trHeight w:val="567" w:hRule="exact"/>
          <w:jc w:val="center"/>
        </w:trPr>
        <w:tc>
          <w:tcPr>
            <w:tcW w:w="1094" w:type="dxa"/>
            <w:vMerge w:val="restart"/>
            <w:tcBorders>
              <w:top w:val="single" w:color="000000" w:sz="4" w:space="0"/>
              <w:left w:val="single" w:color="000000"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室内</w:t>
            </w:r>
          </w:p>
          <w:p>
            <w:pPr>
              <w:numPr>
                <w:ilvl w:val="0"/>
                <w:numId w:val="0"/>
              </w:numPr>
              <w:autoSpaceDE/>
              <w:autoSpaceDN/>
              <w:spacing w:before="0" w:after="160" w:line="360" w:lineRule="auto"/>
              <w:ind w:right="0" w:firstLine="0"/>
              <w:jc w:val="center"/>
              <w:rPr>
                <w:rFonts w:hint="default" w:ascii="宋体" w:hAnsi="宋体" w:eastAsia="宋体"/>
                <w:color w:val="auto"/>
                <w:position w:val="0"/>
                <w:sz w:val="21"/>
                <w:szCs w:val="21"/>
              </w:rPr>
            </w:pPr>
            <w:r>
              <w:rPr>
                <w:rFonts w:hint="default" w:ascii="Times New Roman" w:hAnsi="Times New Roman" w:eastAsia="Times New Roman"/>
                <w:color w:val="auto"/>
                <w:position w:val="0"/>
                <w:sz w:val="21"/>
                <w:szCs w:val="21"/>
              </w:rPr>
              <w:t>保洁</w:t>
            </w:r>
          </w:p>
        </w:tc>
        <w:tc>
          <w:tcPr>
            <w:tcW w:w="7159" w:type="dxa"/>
            <w:gridSpan w:val="2"/>
            <w:tcBorders>
              <w:top w:val="single" w:color="000000" w:sz="4" w:space="0"/>
              <w:left w:val="single" w:color="auto" w:sz="4"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部位</w:t>
            </w:r>
          </w:p>
        </w:tc>
        <w:tc>
          <w:tcPr>
            <w:tcW w:w="1262"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面积</w:t>
            </w:r>
          </w:p>
        </w:tc>
      </w:tr>
      <w:tr>
        <w:tblPrEx>
          <w:tblLayout w:type="fixed"/>
          <w:tblCellMar>
            <w:top w:w="0" w:type="dxa"/>
            <w:left w:w="10" w:type="dxa"/>
            <w:bottom w:w="0" w:type="dxa"/>
            <w:right w:w="10" w:type="dxa"/>
          </w:tblCellMar>
        </w:tblPrEx>
        <w:trPr>
          <w:trHeight w:val="1247"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restart"/>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教学楼</w:t>
            </w:r>
          </w:p>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（1号）</w:t>
            </w:r>
          </w:p>
        </w:tc>
        <w:tc>
          <w:tcPr>
            <w:tcW w:w="5857" w:type="dxa"/>
            <w:tcBorders>
              <w:top w:val="single" w:color="000000" w:sz="4" w:space="0"/>
              <w:left w:val="single" w:color="000000" w:sz="2"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共五层。1层教室4个、办公室6个；2、3层每层教室6个，办公室2个；4、5层每层教室6个，办公室3个。</w:t>
            </w:r>
          </w:p>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公共区域：门厅、楼道、楼梯、无障碍走道、电梯间等</w:t>
            </w:r>
          </w:p>
        </w:tc>
        <w:tc>
          <w:tcPr>
            <w:tcW w:w="1262" w:type="dxa"/>
            <w:vMerge w:val="restart"/>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3928.75㎡</w:t>
            </w:r>
          </w:p>
        </w:tc>
      </w:tr>
      <w:tr>
        <w:tblPrEx>
          <w:tblLayout w:type="fixed"/>
          <w:tblCellMar>
            <w:top w:w="0" w:type="dxa"/>
            <w:left w:w="10" w:type="dxa"/>
            <w:bottom w:w="0" w:type="dxa"/>
            <w:right w:w="10" w:type="dxa"/>
          </w:tblCellMar>
        </w:tblPrEx>
        <w:trPr>
          <w:trHeight w:val="567"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continue"/>
            <w:tcBorders>
              <w:top w:val="single" w:color="000000" w:sz="4" w:space="0"/>
              <w:left w:val="single" w:color="auto" w:sz="4" w:space="0"/>
              <w:bottom w:val="single" w:color="000000" w:sz="4" w:space="0"/>
              <w:right w:val="single" w:color="000000" w:sz="4" w:space="0"/>
            </w:tcBorders>
            <w:vAlign w:val="center"/>
          </w:tcPr>
          <w:p/>
        </w:tc>
        <w:tc>
          <w:tcPr>
            <w:tcW w:w="5857" w:type="dxa"/>
            <w:tcBorders>
              <w:top w:val="single" w:color="000000" w:sz="4" w:space="0"/>
              <w:left w:val="single" w:color="000000" w:sz="2"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厕所（10个）</w:t>
            </w:r>
          </w:p>
        </w:tc>
        <w:tc>
          <w:tcPr>
            <w:tcW w:w="1262" w:type="dxa"/>
            <w:vMerge w:val="continue"/>
            <w:tcBorders>
              <w:top w:val="single" w:color="000000" w:sz="4" w:space="0"/>
              <w:left w:val="single" w:color="auto"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trHeight w:val="817"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restart"/>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教学楼</w:t>
            </w:r>
          </w:p>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（2号）</w:t>
            </w:r>
          </w:p>
        </w:tc>
        <w:tc>
          <w:tcPr>
            <w:tcW w:w="5857" w:type="dxa"/>
            <w:tcBorders>
              <w:top w:val="single" w:color="000000" w:sz="4" w:space="0"/>
              <w:left w:val="single" w:color="000000" w:sz="2"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共三层。公共区域：门厅、楼道、楼梯、无障碍走道、电梯间等</w:t>
            </w:r>
          </w:p>
        </w:tc>
        <w:tc>
          <w:tcPr>
            <w:tcW w:w="1262" w:type="dxa"/>
            <w:vMerge w:val="restart"/>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945.33</w:t>
            </w:r>
          </w:p>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w:t>
            </w:r>
          </w:p>
        </w:tc>
      </w:tr>
      <w:tr>
        <w:tblPrEx>
          <w:tblLayout w:type="fixed"/>
          <w:tblCellMar>
            <w:top w:w="0" w:type="dxa"/>
            <w:left w:w="10" w:type="dxa"/>
            <w:bottom w:w="0" w:type="dxa"/>
            <w:right w:w="10" w:type="dxa"/>
          </w:tblCellMar>
        </w:tblPrEx>
        <w:trPr>
          <w:trHeight w:val="567"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continue"/>
            <w:tcBorders>
              <w:top w:val="single" w:color="000000" w:sz="4" w:space="0"/>
              <w:left w:val="single" w:color="auto" w:sz="4" w:space="0"/>
              <w:bottom w:val="single" w:color="000000" w:sz="4" w:space="0"/>
              <w:right w:val="single" w:color="000000" w:sz="4" w:space="0"/>
            </w:tcBorders>
            <w:vAlign w:val="center"/>
          </w:tcPr>
          <w:p/>
        </w:tc>
        <w:tc>
          <w:tcPr>
            <w:tcW w:w="5857" w:type="dxa"/>
            <w:tcBorders>
              <w:top w:val="single" w:color="000000" w:sz="4" w:space="0"/>
              <w:left w:val="single" w:color="000000" w:sz="2"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厕所（2个）</w:t>
            </w:r>
          </w:p>
        </w:tc>
        <w:tc>
          <w:tcPr>
            <w:tcW w:w="1262" w:type="dxa"/>
            <w:vMerge w:val="continue"/>
            <w:tcBorders>
              <w:top w:val="single" w:color="000000" w:sz="4" w:space="0"/>
              <w:left w:val="single" w:color="auto"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trHeight w:val="1253"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continue"/>
            <w:tcBorders>
              <w:top w:val="single" w:color="000000" w:sz="4" w:space="0"/>
              <w:left w:val="single" w:color="auto" w:sz="4" w:space="0"/>
              <w:bottom w:val="single" w:color="000000" w:sz="4" w:space="0"/>
              <w:right w:val="single" w:color="000000" w:sz="4" w:space="0"/>
            </w:tcBorders>
            <w:vAlign w:val="center"/>
          </w:tcPr>
          <w:p/>
        </w:tc>
        <w:tc>
          <w:tcPr>
            <w:tcW w:w="5857" w:type="dxa"/>
            <w:tcBorders>
              <w:top w:val="single" w:color="000000" w:sz="4" w:space="0"/>
              <w:left w:val="single" w:color="000000" w:sz="2"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left"/>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一层：配电房１个、监控室１个、办公室3个；二层：大型会议室１个、弱电机房１个、办公室3个；三层：会议室１个、教室1个、办公室6个。</w:t>
            </w:r>
          </w:p>
        </w:tc>
        <w:tc>
          <w:tcPr>
            <w:tcW w:w="1262" w:type="dxa"/>
            <w:vMerge w:val="continue"/>
            <w:tcBorders>
              <w:top w:val="single" w:color="000000" w:sz="4" w:space="0"/>
              <w:left w:val="single" w:color="auto"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trHeight w:val="2155" w:hRule="atLeas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restart"/>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学生宿舍楼</w:t>
            </w:r>
          </w:p>
        </w:tc>
        <w:tc>
          <w:tcPr>
            <w:tcW w:w="5857" w:type="dxa"/>
            <w:tcBorders>
              <w:top w:val="single" w:color="000000" w:sz="4" w:space="0"/>
              <w:left w:val="single" w:color="000000" w:sz="2"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 xml:space="preserve">共6层。一层：食堂、包厢2个、店面房5个；二层：包厢2个（直通一层包厢）、店面房1个（直通一层）、大师工作室１个、展览室１个；三层：房间14个、套间1个、管理间1个、众创空间1个 ； 四、五、六层：每层房间17个、管理间2个； 屋面：房间2个         </w:t>
            </w:r>
          </w:p>
        </w:tc>
        <w:tc>
          <w:tcPr>
            <w:tcW w:w="1262" w:type="dxa"/>
            <w:vMerge w:val="restart"/>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4938.32㎡</w:t>
            </w:r>
          </w:p>
        </w:tc>
      </w:tr>
      <w:tr>
        <w:tblPrEx>
          <w:tblLayout w:type="fixed"/>
          <w:tblCellMar>
            <w:top w:w="0" w:type="dxa"/>
            <w:left w:w="10" w:type="dxa"/>
            <w:bottom w:w="0" w:type="dxa"/>
            <w:right w:w="10" w:type="dxa"/>
          </w:tblCellMar>
        </w:tblPrEx>
        <w:trPr>
          <w:trHeight w:val="795"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continue"/>
            <w:tcBorders>
              <w:top w:val="single" w:color="000000" w:sz="4" w:space="0"/>
              <w:left w:val="single" w:color="auto" w:sz="4" w:space="0"/>
              <w:bottom w:val="single" w:color="000000" w:sz="4" w:space="0"/>
              <w:right w:val="single" w:color="000000" w:sz="4" w:space="0"/>
            </w:tcBorders>
            <w:vAlign w:val="center"/>
          </w:tcPr>
          <w:p/>
        </w:tc>
        <w:tc>
          <w:tcPr>
            <w:tcW w:w="5857" w:type="dxa"/>
            <w:tcBorders>
              <w:left w:val="single" w:color="000000" w:sz="2"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厕所公用（13个）</w:t>
            </w:r>
          </w:p>
        </w:tc>
        <w:tc>
          <w:tcPr>
            <w:tcW w:w="1262" w:type="dxa"/>
            <w:vMerge w:val="continue"/>
            <w:tcBorders>
              <w:top w:val="single" w:color="000000" w:sz="4" w:space="0"/>
              <w:left w:val="single" w:color="auto"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trHeight w:val="675" w:hRule="exac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vMerge w:val="continue"/>
            <w:tcBorders>
              <w:top w:val="single" w:color="000000" w:sz="4" w:space="0"/>
              <w:left w:val="single" w:color="auto" w:sz="4" w:space="0"/>
              <w:bottom w:val="single" w:color="000000" w:sz="4" w:space="0"/>
              <w:right w:val="single" w:color="000000" w:sz="4" w:space="0"/>
            </w:tcBorders>
            <w:vAlign w:val="center"/>
          </w:tcPr>
          <w:p/>
        </w:tc>
        <w:tc>
          <w:tcPr>
            <w:tcW w:w="5857" w:type="dxa"/>
            <w:tcBorders>
              <w:top w:val="single" w:color="auto" w:sz="4" w:space="0"/>
              <w:left w:val="single" w:color="000000" w:sz="2" w:space="0"/>
              <w:bottom w:val="single" w:color="000000"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公共区域：门厅、楼道、楼梯、电梯间等</w:t>
            </w:r>
          </w:p>
        </w:tc>
        <w:tc>
          <w:tcPr>
            <w:tcW w:w="1262" w:type="dxa"/>
            <w:vMerge w:val="continue"/>
            <w:tcBorders>
              <w:top w:val="single" w:color="000000" w:sz="4" w:space="0"/>
              <w:left w:val="single" w:color="auto"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trHeight w:val="1973" w:hRule="atLeas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门卫处</w:t>
            </w:r>
          </w:p>
        </w:tc>
        <w:tc>
          <w:tcPr>
            <w:tcW w:w="5857" w:type="dxa"/>
            <w:tcBorders>
              <w:top w:val="single" w:color="000000" w:sz="4" w:space="0"/>
              <w:left w:val="single" w:color="000000" w:sz="2"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店面2个、门卫管理间1个</w:t>
            </w:r>
          </w:p>
        </w:tc>
        <w:tc>
          <w:tcPr>
            <w:tcW w:w="1262" w:type="dxa"/>
            <w:tcBorders>
              <w:top w:val="single" w:color="000000" w:sz="4" w:space="0"/>
              <w:left w:val="single" w:color="auto"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约60㎡</w:t>
            </w:r>
          </w:p>
        </w:tc>
      </w:tr>
      <w:tr>
        <w:tblPrEx>
          <w:tblLayout w:type="fixed"/>
          <w:tblCellMar>
            <w:top w:w="0" w:type="dxa"/>
            <w:left w:w="10" w:type="dxa"/>
            <w:bottom w:w="0" w:type="dxa"/>
            <w:right w:w="10" w:type="dxa"/>
          </w:tblCellMar>
        </w:tblPrEx>
        <w:trPr>
          <w:trHeight w:val="1690" w:hRule="atLeast"/>
          <w:jc w:val="center"/>
        </w:trPr>
        <w:tc>
          <w:tcPr>
            <w:tcW w:w="1094" w:type="dxa"/>
            <w:vMerge w:val="continue"/>
            <w:tcBorders>
              <w:top w:val="single" w:color="000000" w:sz="4" w:space="0"/>
              <w:left w:val="single" w:color="000000" w:sz="4" w:space="0"/>
              <w:bottom w:val="single" w:color="auto" w:sz="4" w:space="0"/>
              <w:right w:val="single" w:color="auto" w:sz="4" w:space="0"/>
            </w:tcBorders>
            <w:vAlign w:val="center"/>
          </w:tcPr>
          <w:p/>
        </w:tc>
        <w:tc>
          <w:tcPr>
            <w:tcW w:w="1302" w:type="dxa"/>
            <w:tcBorders>
              <w:top w:val="single" w:color="000000" w:sz="4" w:space="0"/>
              <w:left w:val="single" w:color="auto" w:sz="4" w:space="0"/>
              <w:bottom w:val="single" w:color="auto" w:sz="4" w:space="0"/>
              <w:right w:val="single" w:color="000000"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老配电房</w:t>
            </w:r>
          </w:p>
        </w:tc>
        <w:tc>
          <w:tcPr>
            <w:tcW w:w="5857" w:type="dxa"/>
            <w:tcBorders>
              <w:left w:val="single" w:color="000000" w:sz="2"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办公室：4个</w:t>
            </w:r>
          </w:p>
        </w:tc>
        <w:tc>
          <w:tcPr>
            <w:tcW w:w="1262" w:type="dxa"/>
            <w:tcBorders>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60.93㎡</w:t>
            </w:r>
          </w:p>
        </w:tc>
      </w:tr>
      <w:tr>
        <w:tblPrEx>
          <w:tblLayout w:type="fixed"/>
          <w:tblCellMar>
            <w:top w:w="0" w:type="dxa"/>
            <w:left w:w="10" w:type="dxa"/>
            <w:bottom w:w="0" w:type="dxa"/>
            <w:right w:w="10" w:type="dxa"/>
          </w:tblCellMar>
        </w:tblPrEx>
        <w:trPr>
          <w:trHeight w:val="945" w:hRule="atLeast"/>
          <w:jc w:val="center"/>
        </w:trPr>
        <w:tc>
          <w:tcPr>
            <w:tcW w:w="2396" w:type="dxa"/>
            <w:gridSpan w:val="2"/>
            <w:tcBorders>
              <w:top w:val="single" w:color="auto" w:sz="4" w:space="0"/>
              <w:left w:val="single" w:color="auto" w:sz="4" w:space="0"/>
              <w:bottom w:val="single" w:color="auto" w:sz="4" w:space="0"/>
              <w:right w:val="single" w:color="000000" w:sz="4" w:space="0"/>
            </w:tcBorders>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室外保洁</w:t>
            </w:r>
          </w:p>
        </w:tc>
        <w:tc>
          <w:tcPr>
            <w:tcW w:w="5857" w:type="dxa"/>
            <w:tcBorders>
              <w:top w:val="single" w:color="auto" w:sz="4" w:space="0"/>
              <w:left w:val="single" w:color="000000" w:sz="2"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除室内以外的道路、篮球场等</w:t>
            </w:r>
          </w:p>
        </w:tc>
        <w:tc>
          <w:tcPr>
            <w:tcW w:w="126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约3200㎡</w:t>
            </w:r>
          </w:p>
        </w:tc>
      </w:tr>
    </w:tbl>
    <w:p>
      <w:pPr>
        <w:numPr>
          <w:ilvl w:val="0"/>
          <w:numId w:val="0"/>
        </w:numPr>
        <w:autoSpaceDE/>
        <w:autoSpaceDN/>
        <w:spacing w:before="0" w:after="160" w:line="360" w:lineRule="auto"/>
        <w:ind w:right="0" w:firstLine="0"/>
        <w:jc w:val="both"/>
        <w:rPr>
          <w:rFonts w:hint="default" w:ascii="Times New Roman" w:hAnsi="Times New Roman" w:eastAsia="Times New Roman"/>
          <w:color w:val="auto"/>
          <w:position w:val="0"/>
          <w:sz w:val="21"/>
          <w:szCs w:val="21"/>
        </w:rPr>
      </w:pPr>
    </w:p>
    <w:tbl>
      <w:tblPr>
        <w:tblStyle w:val="5"/>
        <w:tblW w:w="9515" w:type="dxa"/>
        <w:tblInd w:w="0" w:type="dxa"/>
        <w:tblLayout w:type="fixed"/>
        <w:tblCellMar>
          <w:top w:w="0" w:type="dxa"/>
          <w:left w:w="108" w:type="dxa"/>
          <w:bottom w:w="0" w:type="dxa"/>
          <w:right w:w="108" w:type="dxa"/>
        </w:tblCellMar>
      </w:tblPr>
      <w:tblGrid>
        <w:gridCol w:w="4309"/>
        <w:gridCol w:w="1684"/>
        <w:gridCol w:w="3522"/>
      </w:tblGrid>
      <w:tr>
        <w:tblPrEx>
          <w:tblLayout w:type="fixed"/>
          <w:tblCellMar>
            <w:top w:w="0" w:type="dxa"/>
            <w:left w:w="108" w:type="dxa"/>
            <w:bottom w:w="0" w:type="dxa"/>
            <w:right w:w="108" w:type="dxa"/>
          </w:tblCellMar>
        </w:tblPrEx>
        <w:trPr>
          <w:trHeight w:val="240" w:hRule="atLeast"/>
        </w:trPr>
        <w:tc>
          <w:tcPr>
            <w:tcW w:w="951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主入口大厅</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吊顶、铝门框、</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米</w:t>
            </w:r>
            <w:r>
              <w:rPr>
                <w:rFonts w:hint="default" w:ascii="宋体" w:hAnsi="宋体" w:eastAsia="宋体"/>
                <w:color w:val="auto"/>
                <w:position w:val="0"/>
                <w:sz w:val="21"/>
                <w:szCs w:val="21"/>
              </w:rPr>
              <w:t>线</w:t>
            </w:r>
            <w:r>
              <w:rPr>
                <w:rFonts w:hint="default" w:ascii="宋体" w:hAnsi="Times New Roman" w:eastAsia="Times New Roman"/>
                <w:color w:val="auto"/>
                <w:position w:val="0"/>
                <w:sz w:val="21"/>
                <w:szCs w:val="21"/>
              </w:rPr>
              <w:t>以</w:t>
            </w:r>
            <w:r>
              <w:rPr>
                <w:rFonts w:hint="default" w:ascii="宋体" w:hAnsi="宋体" w:eastAsia="宋体"/>
                <w:color w:val="auto"/>
                <w:position w:val="0"/>
                <w:sz w:val="21"/>
                <w:szCs w:val="21"/>
              </w:rPr>
              <w:t>下</w:t>
            </w:r>
            <w:r>
              <w:rPr>
                <w:rFonts w:hint="default" w:ascii="宋体" w:hAnsi="Times New Roman" w:eastAsia="Times New Roman"/>
                <w:color w:val="auto"/>
                <w:position w:val="0"/>
                <w:sz w:val="21"/>
                <w:szCs w:val="21"/>
              </w:rPr>
              <w:t>墙壁擦拭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无尘、无污染</w:t>
            </w:r>
          </w:p>
        </w:tc>
      </w:tr>
      <w:tr>
        <w:tblPrEx>
          <w:tblLayout w:type="fixed"/>
          <w:tblCellMar>
            <w:top w:w="0" w:type="dxa"/>
            <w:left w:w="108" w:type="dxa"/>
            <w:bottom w:w="0" w:type="dxa"/>
            <w:right w:w="108" w:type="dxa"/>
          </w:tblCellMar>
        </w:tblPrEx>
        <w:trPr>
          <w:trHeight w:val="48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地垫清洗、地面抛光、养护（打蜡或晶研处理）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光亮，无尘，无污染</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垃圾容器清洗、消毒</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无异味、无污渍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金属件清洗并上光</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墙身</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灯箱</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风口</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烟灰缸</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及时清理</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烟蒂不超过三只，外表清洁</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天</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无灰尘、无手印、明亮</w:t>
            </w:r>
          </w:p>
        </w:tc>
      </w:tr>
      <w:tr>
        <w:tblPrEx>
          <w:tblLayout w:type="fixed"/>
          <w:tblCellMar>
            <w:top w:w="0" w:type="dxa"/>
            <w:left w:w="108" w:type="dxa"/>
            <w:bottom w:w="0" w:type="dxa"/>
            <w:right w:w="108" w:type="dxa"/>
          </w:tblCellMar>
        </w:tblPrEx>
        <w:trPr>
          <w:trHeight w:val="240" w:hRule="atLeast"/>
        </w:trPr>
        <w:tc>
          <w:tcPr>
            <w:tcW w:w="4309" w:type="dxa"/>
            <w:tcBorders>
              <w:top w:val="single" w:color="auto" w:sz="4" w:space="0"/>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花盆套</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天</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无灰尘、盆内无垃圾</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电梯间</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地面、地毯</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地面光亮、无尘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墙面（墙面四壁）</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清洁、上光</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门槽</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及时清理</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无灰尘、无垃圾、光亮</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指示牌和按钮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无灰尘、无手印</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地毯吸尘</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地毯平整、无污渍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墙面、踢脚（擦拭）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无污渍、无尘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出入门（清洁剂擦拭）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无手印、无尘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烟灰缸、垃圾桶、植物盆、指示灯牌</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消防、照明、空调设备</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吊顶、铝门框、</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米</w:t>
            </w:r>
            <w:r>
              <w:rPr>
                <w:rFonts w:hint="default" w:ascii="宋体" w:hAnsi="宋体" w:eastAsia="宋体"/>
                <w:color w:val="auto"/>
                <w:position w:val="0"/>
                <w:sz w:val="21"/>
                <w:szCs w:val="21"/>
              </w:rPr>
              <w:t>线</w:t>
            </w:r>
            <w:r>
              <w:rPr>
                <w:rFonts w:hint="default" w:ascii="宋体" w:hAnsi="Times New Roman" w:eastAsia="Times New Roman"/>
                <w:color w:val="auto"/>
                <w:position w:val="0"/>
                <w:sz w:val="21"/>
                <w:szCs w:val="21"/>
              </w:rPr>
              <w:t>以</w:t>
            </w:r>
            <w:r>
              <w:rPr>
                <w:rFonts w:hint="default" w:ascii="宋体" w:hAnsi="宋体" w:eastAsia="宋体"/>
                <w:color w:val="auto"/>
                <w:position w:val="0"/>
                <w:sz w:val="21"/>
                <w:szCs w:val="21"/>
              </w:rPr>
              <w:t>下</w:t>
            </w:r>
            <w:r>
              <w:rPr>
                <w:rFonts w:hint="default" w:ascii="宋体" w:hAnsi="Times New Roman" w:eastAsia="Times New Roman"/>
                <w:color w:val="auto"/>
                <w:position w:val="0"/>
                <w:sz w:val="21"/>
                <w:szCs w:val="21"/>
              </w:rPr>
              <w:t>墙壁擦拭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48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地垫清洗、地面抛光、养护（打蜡或晶研处理）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光亮、地面材质无磨损</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灯片和风口</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地面、天花板（扫、擦）</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墙壁、按键盘（擦拭）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扶手、门（擦拭）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照明设备（外表）</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30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公共走廊及楼道</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42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地面牵尘、地毯吸尘</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2次/日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地面光亮、无尘、地毯平整、无污渍</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墙面、踢脚（擦拭）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无污渍、无尘</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出入门（清洁剂擦拭）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无手印、无尘</w:t>
            </w:r>
          </w:p>
        </w:tc>
      </w:tr>
      <w:tr>
        <w:tblPrEx>
          <w:tblLayout w:type="fixed"/>
          <w:tblCellMar>
            <w:top w:w="0" w:type="dxa"/>
            <w:left w:w="108" w:type="dxa"/>
            <w:bottom w:w="0" w:type="dxa"/>
            <w:right w:w="108" w:type="dxa"/>
          </w:tblCellMar>
        </w:tblPrEx>
        <w:trPr>
          <w:trHeight w:val="525"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烟灰缸、垃圾桶、植物盆、指示灯牌</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消防、照明、空调设备</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39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吊顶、铝门框、</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米</w:t>
            </w:r>
            <w:r>
              <w:rPr>
                <w:rFonts w:hint="default" w:ascii="宋体" w:hAnsi="宋体" w:eastAsia="宋体"/>
                <w:color w:val="auto"/>
                <w:position w:val="0"/>
                <w:sz w:val="21"/>
                <w:szCs w:val="21"/>
              </w:rPr>
              <w:t>线</w:t>
            </w:r>
            <w:r>
              <w:rPr>
                <w:rFonts w:hint="default" w:ascii="宋体" w:hAnsi="Times New Roman" w:eastAsia="Times New Roman"/>
                <w:color w:val="auto"/>
                <w:position w:val="0"/>
                <w:sz w:val="21"/>
                <w:szCs w:val="21"/>
              </w:rPr>
              <w:t>以</w:t>
            </w:r>
            <w:r>
              <w:rPr>
                <w:rFonts w:hint="default" w:ascii="宋体" w:hAnsi="宋体" w:eastAsia="宋体"/>
                <w:color w:val="auto"/>
                <w:position w:val="0"/>
                <w:sz w:val="21"/>
                <w:szCs w:val="21"/>
              </w:rPr>
              <w:t>下</w:t>
            </w:r>
            <w:r>
              <w:rPr>
                <w:rFonts w:hint="default" w:ascii="宋体" w:hAnsi="Times New Roman" w:eastAsia="Times New Roman"/>
                <w:color w:val="auto"/>
                <w:position w:val="0"/>
                <w:sz w:val="21"/>
                <w:szCs w:val="21"/>
              </w:rPr>
              <w:t>墙壁擦拭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45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地垫清洗、地面抛光、地面养护（打蜡或晶研处理）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光亮、地面材质无磨损</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灯具</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楼梯及平台</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无垃圾、死角无灰尘</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扶手、栏杆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30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外漏管道</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卫生间</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地面扫、擦</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无杂物、污渍、水渍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小便池、坐厕、洗脸盆清洗消毒</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无杂物、污渍、水渍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厕隔板、坐厕板、纸架（清洗消毒）</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无杂物、污渍、水渍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照明、空调、通风设备</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无杂物、污渍、水渍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垃圾桶冲洗</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及时清洗</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纸箱、空气清新剂</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及时补充</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卫生纸、洗手液</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及时补充</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无异味</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电镀件、烘手机</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光亮、无手印</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地面清洗消毒</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无污渍、无异味</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垃圾筒、厕板消毒</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无污渍、无异味</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水龙头</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无水锈、无污渍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镜面</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无水迹、无污渍、明亮</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墙面</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灯片、天花机风口</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玻璃窗</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无灰尘、无水迹</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卷筒纸</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无短缺</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视需要添加</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水桶卫生间下水道</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下水管道通畅、无阻塞</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通气、排风</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及时处理</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保证卫生间无异味</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设备机房</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地面（拖抹）</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地面光亮、无尘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地面（吸尘）</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地毯平整、无污渍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墙面（擦拭）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无污渍、无尘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门（清洁剂擦拭）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各种标志牌的清理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排气口</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不断清洁</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排气口擦拭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地面清洗</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顶灯、照明设备（外表）</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门板清洗擦拭</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会议室</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擦拭家具、摆设物</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无尘、无污渍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地毯清洁</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干净、整洁</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办公家具及用品</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空调</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照明设备（外表）</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窗台</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地面清洗</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无杂物、积尘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垃圾桶的整理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管理办公室</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办公家具及用品</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空调</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照明设备（外表）</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窗台</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无杂物、手印、污渍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地面清洗</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无杂物、积尘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垃圾桶的整理</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无杂物</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外墙、杀虫</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外墙玻璃、窗口、墙面、高处饰物</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年</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无积尘、水迹、污渍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布设药点、更换药剂</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年</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对人畜安全、无污染</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巡回检查虫害情况</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天</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有效灭杀、符合国家标准</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室外公共场所</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道路、绿化带、果壳箱</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干净整洁</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垃圾房</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不得超过容积的</w:t>
            </w:r>
            <w:r>
              <w:rPr>
                <w:rFonts w:hint="default" w:ascii="宋体" w:hAnsi="宋体" w:eastAsia="宋体"/>
                <w:color w:val="auto"/>
                <w:position w:val="0"/>
                <w:sz w:val="21"/>
                <w:szCs w:val="21"/>
              </w:rPr>
              <w:t>2/3</w:t>
            </w:r>
            <w:r>
              <w:rPr>
                <w:rFonts w:hint="default" w:ascii="宋体" w:hAnsi="Times New Roman" w:eastAsia="Times New Roman"/>
                <w:color w:val="auto"/>
                <w:position w:val="0"/>
                <w:sz w:val="21"/>
                <w:szCs w:val="21"/>
              </w:rPr>
              <w:t>，</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各类宣传栏橱窗及指示牌、灯柱</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明沟</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无垃圾、杂物、无苔藓</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外露管道（二米以下）</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标志牌</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米以下外墙</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监控探头</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季</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外露管道（二米以下）</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标志牌</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日</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米以下外墙</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月</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无积灰、污渍</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监控探头</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季</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无灰尘</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玻璃门</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r>
              <w:rPr>
                <w:rFonts w:hint="default" w:ascii="宋体" w:hAnsi="宋体" w:eastAsia="宋体"/>
                <w:color w:val="auto"/>
                <w:position w:val="0"/>
                <w:sz w:val="21"/>
                <w:szCs w:val="21"/>
              </w:rPr>
              <w:t>/</w:t>
            </w:r>
            <w:r>
              <w:rPr>
                <w:rFonts w:hint="default" w:ascii="宋体" w:hAnsi="Times New Roman" w:eastAsia="Times New Roman"/>
                <w:color w:val="auto"/>
                <w:position w:val="0"/>
                <w:sz w:val="21"/>
                <w:szCs w:val="21"/>
              </w:rPr>
              <w:t>周</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无积灰、污渍</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厨房及餐厅</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作业项目</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频次</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作业标准</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餐厅外公共走廊及楼道</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　</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按公共走廊及楼道要求执行</w:t>
            </w:r>
          </w:p>
        </w:tc>
      </w:tr>
      <w:tr>
        <w:tblPrEx>
          <w:tblLayout w:type="fixed"/>
          <w:tblCellMar>
            <w:top w:w="0" w:type="dxa"/>
            <w:left w:w="108" w:type="dxa"/>
            <w:bottom w:w="0" w:type="dxa"/>
            <w:right w:w="108" w:type="dxa"/>
          </w:tblCellMar>
        </w:tblPrEx>
        <w:trPr>
          <w:trHeight w:val="240" w:hRule="atLeast"/>
        </w:trPr>
        <w:tc>
          <w:tcPr>
            <w:tcW w:w="9515" w:type="dxa"/>
            <w:gridSpan w:val="3"/>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垃圾清运</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nil"/>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所有的垃圾清运工作（包括厨房垃圾等所有垃圾）</w:t>
            </w:r>
          </w:p>
        </w:tc>
        <w:tc>
          <w:tcPr>
            <w:tcW w:w="1684" w:type="dxa"/>
            <w:tcBorders>
              <w:top w:val="nil"/>
              <w:left w:val="nil"/>
              <w:bottom w:val="nil"/>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及时处理</w:t>
            </w:r>
          </w:p>
        </w:tc>
        <w:tc>
          <w:tcPr>
            <w:tcW w:w="3522" w:type="dxa"/>
            <w:tcBorders>
              <w:top w:val="nil"/>
              <w:left w:val="nil"/>
              <w:bottom w:val="nil"/>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整洁、无污物</w:t>
            </w:r>
          </w:p>
        </w:tc>
      </w:tr>
      <w:tr>
        <w:tblPrEx>
          <w:tblLayout w:type="fixed"/>
          <w:tblCellMar>
            <w:top w:w="0" w:type="dxa"/>
            <w:left w:w="108" w:type="dxa"/>
            <w:bottom w:w="0" w:type="dxa"/>
            <w:right w:w="108" w:type="dxa"/>
          </w:tblCellMar>
        </w:tblPrEx>
        <w:trPr>
          <w:trHeight w:val="240" w:hRule="atLeast"/>
        </w:trPr>
        <w:tc>
          <w:tcPr>
            <w:tcW w:w="4309"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垃圾堆放处</w:t>
            </w:r>
          </w:p>
        </w:tc>
        <w:tc>
          <w:tcPr>
            <w:tcW w:w="1684"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及时处理</w:t>
            </w:r>
          </w:p>
        </w:tc>
        <w:tc>
          <w:tcPr>
            <w:tcW w:w="3522" w:type="dxa"/>
            <w:tcBorders>
              <w:top w:val="nil"/>
              <w:left w:val="nil"/>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整洁、摆放整齐</w:t>
            </w:r>
          </w:p>
        </w:tc>
      </w:tr>
    </w:tbl>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p>
    <w:p>
      <w:pPr>
        <w:pStyle w:val="2"/>
        <w:numPr>
          <w:ilvl w:val="0"/>
          <w:numId w:val="0"/>
        </w:numPr>
        <w:autoSpaceDE/>
        <w:autoSpaceDN/>
        <w:spacing w:before="0" w:after="160" w:line="360" w:lineRule="auto"/>
        <w:ind w:right="0" w:firstLine="0"/>
        <w:jc w:val="both"/>
        <w:outlineLvl w:val="2"/>
        <w:rPr>
          <w:rFonts w:hint="default" w:ascii="Times New Roman" w:hAnsi="Times New Roman" w:eastAsia="Times New Roman"/>
          <w:b/>
          <w:color w:val="auto"/>
          <w:position w:val="0"/>
          <w:sz w:val="21"/>
          <w:szCs w:val="21"/>
        </w:rPr>
      </w:pPr>
      <w:bookmarkStart w:id="2" w:name="_Toc329850776"/>
      <w:r>
        <w:rPr>
          <w:rFonts w:hint="default" w:ascii="Times New Roman" w:hAnsi="Times New Roman" w:eastAsia="Times New Roman"/>
          <w:b/>
          <w:color w:val="auto"/>
          <w:position w:val="0"/>
          <w:sz w:val="21"/>
          <w:szCs w:val="21"/>
        </w:rPr>
        <w:t>2.4 工程维修</w:t>
      </w:r>
      <w:bookmarkEnd w:id="2"/>
      <w:r>
        <w:rPr>
          <w:rFonts w:hint="default" w:ascii="Times New Roman" w:hAnsi="Times New Roman" w:eastAsia="Times New Roman"/>
          <w:b/>
          <w:color w:val="auto"/>
          <w:position w:val="0"/>
          <w:sz w:val="21"/>
          <w:szCs w:val="21"/>
        </w:rPr>
        <w:t>(列出年费用标准)</w:t>
      </w:r>
    </w:p>
    <w:tbl>
      <w:tblPr>
        <w:tblStyle w:val="5"/>
        <w:tblW w:w="9300" w:type="dxa"/>
        <w:tblInd w:w="93" w:type="dxa"/>
        <w:tblLayout w:type="fixed"/>
        <w:tblCellMar>
          <w:top w:w="0" w:type="dxa"/>
          <w:left w:w="108" w:type="dxa"/>
          <w:bottom w:w="0" w:type="dxa"/>
          <w:right w:w="108" w:type="dxa"/>
        </w:tblCellMar>
      </w:tblPr>
      <w:tblGrid>
        <w:gridCol w:w="1464"/>
        <w:gridCol w:w="7836"/>
      </w:tblGrid>
      <w:tr>
        <w:tblPrEx>
          <w:tblLayout w:type="fixed"/>
          <w:tblCellMar>
            <w:top w:w="0" w:type="dxa"/>
            <w:left w:w="108" w:type="dxa"/>
            <w:bottom w:w="0" w:type="dxa"/>
            <w:right w:w="108" w:type="dxa"/>
          </w:tblCellMar>
        </w:tblPrEx>
        <w:trPr>
          <w:trHeight w:val="499" w:hRule="atLeast"/>
        </w:trPr>
        <w:tc>
          <w:tcPr>
            <w:tcW w:w="146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项目</w:t>
            </w:r>
          </w:p>
        </w:tc>
        <w:tc>
          <w:tcPr>
            <w:tcW w:w="783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标准及要求</w:t>
            </w:r>
          </w:p>
        </w:tc>
      </w:tr>
      <w:tr>
        <w:tblPrEx>
          <w:tblLayout w:type="fixed"/>
          <w:tblCellMar>
            <w:top w:w="0" w:type="dxa"/>
            <w:left w:w="108" w:type="dxa"/>
            <w:bottom w:w="0" w:type="dxa"/>
            <w:right w:w="108" w:type="dxa"/>
          </w:tblCellMar>
        </w:tblPrEx>
        <w:trPr>
          <w:trHeight w:val="499"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巡检</w:t>
            </w:r>
          </w:p>
        </w:tc>
        <w:tc>
          <w:tcPr>
            <w:tcW w:w="7836" w:type="dxa"/>
            <w:tcBorders>
              <w:top w:val="nil"/>
              <w:left w:val="nil"/>
              <w:bottom w:val="single" w:color="auto" w:sz="4" w:space="0"/>
              <w:right w:val="single" w:color="auto" w:sz="4" w:space="0"/>
            </w:tcBorders>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对设施、设备进行巡检，发现问题及时上报招标方。工程综合维修人员日常工作除特定工作外，实行定期巡查维修制，包括配电设施、照明及供用电设施、空调设施、通风设施、给排水设施、其他公用设施等，以及每天对所有区域和房间巡查到一次，并随时记录和处理等。</w:t>
            </w:r>
          </w:p>
        </w:tc>
      </w:tr>
      <w:tr>
        <w:tblPrEx>
          <w:tblLayout w:type="fixed"/>
          <w:tblCellMar>
            <w:top w:w="0" w:type="dxa"/>
            <w:left w:w="108" w:type="dxa"/>
            <w:bottom w:w="0" w:type="dxa"/>
            <w:right w:w="108" w:type="dxa"/>
          </w:tblCellMar>
        </w:tblPrEx>
        <w:trPr>
          <w:trHeight w:val="630"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设备技术状态书</w:t>
            </w:r>
          </w:p>
        </w:tc>
        <w:tc>
          <w:tcPr>
            <w:tcW w:w="783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）编制设备的技术状态报表，其信息能清楚反应设备状态优劣指标，每月都有相关记录</w:t>
            </w:r>
          </w:p>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）保存设备状态日常检查、鉴定的原始资料。</w:t>
            </w:r>
          </w:p>
        </w:tc>
      </w:tr>
      <w:tr>
        <w:tblPrEx>
          <w:tblLayout w:type="fixed"/>
          <w:tblCellMar>
            <w:top w:w="0" w:type="dxa"/>
            <w:left w:w="108" w:type="dxa"/>
            <w:bottom w:w="0" w:type="dxa"/>
            <w:right w:w="108" w:type="dxa"/>
          </w:tblCellMar>
        </w:tblPrEx>
        <w:trPr>
          <w:trHeight w:val="630"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编制设备维修计划</w:t>
            </w:r>
          </w:p>
        </w:tc>
        <w:tc>
          <w:tcPr>
            <w:tcW w:w="783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、维修计划应统筹考虑设计，尽量不影响正常工作；</w:t>
            </w:r>
            <w:r>
              <w:rPr>
                <w:rFonts w:hint="default" w:ascii="宋体" w:hAnsi="宋体" w:eastAsia="宋体"/>
                <w:color w:val="auto"/>
                <w:position w:val="0"/>
                <w:sz w:val="21"/>
                <w:szCs w:val="21"/>
              </w:rPr>
              <w:t xml:space="preserve">                               2</w:t>
            </w:r>
            <w:r>
              <w:rPr>
                <w:rFonts w:hint="default" w:ascii="宋体" w:hAnsi="Times New Roman" w:eastAsia="Times New Roman"/>
                <w:color w:val="auto"/>
                <w:position w:val="0"/>
                <w:sz w:val="21"/>
                <w:szCs w:val="21"/>
              </w:rPr>
              <w:t>、维修计划需提前告知关联部门，保证工作、维修两不误。</w:t>
            </w:r>
          </w:p>
        </w:tc>
      </w:tr>
      <w:tr>
        <w:tblPrEx>
          <w:tblLayout w:type="fixed"/>
          <w:tblCellMar>
            <w:top w:w="0" w:type="dxa"/>
            <w:left w:w="108" w:type="dxa"/>
            <w:bottom w:w="0" w:type="dxa"/>
            <w:right w:w="108" w:type="dxa"/>
          </w:tblCellMar>
        </w:tblPrEx>
        <w:trPr>
          <w:trHeight w:val="735"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门窗、地面检修</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门窗框松动、门锁松动、开关不灵活、门窗扇开关不灵活、脱榫、糟朽、开焊、小五金缺损等应进行修补。修补地、门锁维修不超过</w:t>
            </w:r>
            <w:r>
              <w:rPr>
                <w:rFonts w:hint="default" w:ascii="宋体" w:hAnsi="宋体" w:eastAsia="宋体"/>
                <w:color w:val="auto"/>
                <w:position w:val="0"/>
                <w:sz w:val="21"/>
                <w:szCs w:val="21"/>
              </w:rPr>
              <w:t>24</w:t>
            </w:r>
            <w:r>
              <w:rPr>
                <w:rFonts w:hint="default" w:ascii="宋体" w:hAnsi="Times New Roman" w:eastAsia="Times New Roman"/>
                <w:color w:val="auto"/>
                <w:position w:val="0"/>
                <w:sz w:val="21"/>
                <w:szCs w:val="21"/>
              </w:rPr>
              <w:t>小时。</w:t>
            </w:r>
          </w:p>
        </w:tc>
      </w:tr>
      <w:tr>
        <w:tblPrEx>
          <w:tblLayout w:type="fixed"/>
          <w:tblCellMar>
            <w:top w:w="0" w:type="dxa"/>
            <w:left w:w="108" w:type="dxa"/>
            <w:bottom w:w="0" w:type="dxa"/>
            <w:right w:w="108" w:type="dxa"/>
          </w:tblCellMar>
        </w:tblPrEx>
        <w:trPr>
          <w:trHeight w:val="855"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屋顶、雨水口、雨落管清扫工作</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每月对屋顶、雨水口及雨落管积存的杂物清扫干净；雨落管局部残缺、破损更换、屋面及时补漏。要求屋面应清扫干净，雨落管修缮后应补齐五金配件；屋面补漏后应达到不再滴漏、渗漏。</w:t>
            </w:r>
          </w:p>
        </w:tc>
      </w:tr>
      <w:tr>
        <w:tblPrEx>
          <w:tblLayout w:type="fixed"/>
          <w:tblCellMar>
            <w:top w:w="0" w:type="dxa"/>
            <w:left w:w="108" w:type="dxa"/>
            <w:bottom w:w="0" w:type="dxa"/>
            <w:right w:w="108" w:type="dxa"/>
          </w:tblCellMar>
        </w:tblPrEx>
        <w:trPr>
          <w:trHeight w:val="600"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外檐装修</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外檐抹灰及块料面层局部严重空鼓有脱落危险的，应排除险情。要求：排除险情后的外檐装修，应不存在危险隐患。</w:t>
            </w:r>
          </w:p>
        </w:tc>
      </w:tr>
      <w:tr>
        <w:tblPrEx>
          <w:tblLayout w:type="fixed"/>
          <w:tblCellMar>
            <w:top w:w="0" w:type="dxa"/>
            <w:left w:w="108" w:type="dxa"/>
            <w:bottom w:w="0" w:type="dxa"/>
            <w:right w:w="108" w:type="dxa"/>
          </w:tblCellMar>
        </w:tblPrEx>
        <w:trPr>
          <w:trHeight w:val="435" w:hRule="atLeast"/>
        </w:trPr>
        <w:tc>
          <w:tcPr>
            <w:tcW w:w="1464"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上下水系统小修、局部换管</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定期检查楼宇供水设施设备，及时排除隐患，保证供水系统正常运作。</w:t>
            </w:r>
          </w:p>
        </w:tc>
      </w:tr>
      <w:tr>
        <w:tblPrEx>
          <w:tblLayout w:type="fixed"/>
          <w:tblCellMar>
            <w:top w:w="0" w:type="dxa"/>
            <w:left w:w="108" w:type="dxa"/>
            <w:bottom w:w="0" w:type="dxa"/>
            <w:right w:w="108" w:type="dxa"/>
          </w:tblCellMar>
        </w:tblPrEx>
        <w:trPr>
          <w:trHeight w:val="499" w:hRule="atLeast"/>
        </w:trPr>
        <w:tc>
          <w:tcPr>
            <w:tcW w:w="1464" w:type="dxa"/>
            <w:vMerge w:val="continue"/>
            <w:tcBorders>
              <w:top w:val="nil"/>
              <w:left w:val="single" w:color="auto" w:sz="4" w:space="0"/>
              <w:bottom w:val="single" w:color="auto" w:sz="4" w:space="0"/>
              <w:right w:val="single" w:color="auto" w:sz="4" w:space="0"/>
            </w:tcBorders>
            <w:vAlign w:val="center"/>
          </w:tcPr>
          <w:p>
            <w:pPr>
              <w:rPr>
                <w:color w:val="auto"/>
              </w:rPr>
            </w:pPr>
          </w:p>
        </w:tc>
        <w:tc>
          <w:tcPr>
            <w:tcW w:w="7836"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清除建筑物内外管道锈蚀脱皮，做防锈处理，管道锈蚀严重的，应予以更换；给水系统漏水的，应进行修理，严重的，予以更换，零件残缺的应予以补齐。要求：经修缮的给水系统畅通，部件应配齐全，无跑、冒、滴、漏现象，能正常使用。</w:t>
            </w:r>
          </w:p>
        </w:tc>
      </w:tr>
      <w:tr>
        <w:tblPrEx>
          <w:tblLayout w:type="fixed"/>
          <w:tblCellMar>
            <w:top w:w="0" w:type="dxa"/>
            <w:left w:w="108" w:type="dxa"/>
            <w:bottom w:w="0" w:type="dxa"/>
            <w:right w:w="108" w:type="dxa"/>
          </w:tblCellMar>
        </w:tblPrEx>
        <w:trPr>
          <w:trHeight w:val="630" w:hRule="atLeast"/>
        </w:trPr>
        <w:tc>
          <w:tcPr>
            <w:tcW w:w="1464" w:type="dxa"/>
            <w:vMerge w:val="continue"/>
            <w:tcBorders>
              <w:top w:val="nil"/>
              <w:left w:val="single" w:color="auto" w:sz="4" w:space="0"/>
              <w:bottom w:val="single" w:color="auto" w:sz="4" w:space="0"/>
              <w:right w:val="single" w:color="auto" w:sz="4" w:space="0"/>
            </w:tcBorders>
            <w:vAlign w:val="center"/>
          </w:tcPr>
          <w:p>
            <w:pPr>
              <w:rPr>
                <w:color w:val="auto"/>
              </w:rPr>
            </w:pP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卫生间设备及配件残缺的应配齐，破损的应维修。要求修缮后应做到给排水畅通，各部位零件齐全、灵活、有效，无跑、冒、漏、滴现象，能正常使用。</w:t>
            </w:r>
          </w:p>
        </w:tc>
      </w:tr>
      <w:tr>
        <w:tblPrEx>
          <w:tblLayout w:type="fixed"/>
          <w:tblCellMar>
            <w:top w:w="0" w:type="dxa"/>
            <w:left w:w="108" w:type="dxa"/>
            <w:bottom w:w="0" w:type="dxa"/>
            <w:right w:w="108" w:type="dxa"/>
          </w:tblCellMar>
        </w:tblPrEx>
        <w:trPr>
          <w:trHeight w:val="960" w:hRule="atLeast"/>
        </w:trPr>
        <w:tc>
          <w:tcPr>
            <w:tcW w:w="1464" w:type="dxa"/>
            <w:vMerge w:val="continue"/>
            <w:tcBorders>
              <w:top w:val="nil"/>
              <w:left w:val="single" w:color="auto" w:sz="4" w:space="0"/>
              <w:bottom w:val="single" w:color="auto" w:sz="4" w:space="0"/>
              <w:right w:val="single" w:color="auto" w:sz="4" w:space="0"/>
            </w:tcBorders>
            <w:vAlign w:val="center"/>
          </w:tcPr>
          <w:p>
            <w:pPr>
              <w:rPr>
                <w:color w:val="auto"/>
              </w:rPr>
            </w:pP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疏通建筑物排污管道；疏通或清掏化粪池。要求：建筑物排污管道经疏通后，应达到排污管道畅通，不滴水；化粪池的清掏应清除全部污物，化粪池局部损坏的应修好，达到井体、池体、池盖完好。</w:t>
            </w:r>
          </w:p>
        </w:tc>
      </w:tr>
      <w:tr>
        <w:tblPrEx>
          <w:tblLayout w:type="fixed"/>
          <w:tblCellMar>
            <w:top w:w="0" w:type="dxa"/>
            <w:left w:w="108" w:type="dxa"/>
            <w:bottom w:w="0" w:type="dxa"/>
            <w:right w:w="108" w:type="dxa"/>
          </w:tblCellMar>
        </w:tblPrEx>
        <w:trPr>
          <w:trHeight w:val="1200"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供用电设施设备小修服务</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）负责各类照明灯具、照明系统、供用电设备设施的日常管理和维护修理；</w:t>
            </w:r>
            <w:r>
              <w:rPr>
                <w:rFonts w:hint="default" w:ascii="宋体" w:hAnsi="宋体" w:eastAsia="宋体"/>
                <w:color w:val="auto"/>
                <w:position w:val="0"/>
                <w:sz w:val="21"/>
                <w:szCs w:val="21"/>
              </w:rPr>
              <w:br w:type="textWrapping" w:clear="all"/>
            </w: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）配电设施维修：配电柜、配电箱、配电盘等配电设施的维修；</w:t>
            </w:r>
            <w:r>
              <w:rPr>
                <w:rFonts w:hint="default" w:ascii="宋体" w:hAnsi="宋体" w:eastAsia="宋体"/>
                <w:color w:val="auto"/>
                <w:position w:val="0"/>
                <w:sz w:val="21"/>
                <w:szCs w:val="21"/>
              </w:rPr>
              <w:br w:type="textWrapping" w:clear="all"/>
            </w: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）室内设备的维修：闸具、电源插座、开关、灯头等室内设备的修理。要求：报修后</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小时内到达现场处理，并保证供电设施正常运行</w:t>
            </w:r>
          </w:p>
        </w:tc>
      </w:tr>
      <w:tr>
        <w:tblPrEx>
          <w:tblLayout w:type="fixed"/>
          <w:tblCellMar>
            <w:top w:w="0" w:type="dxa"/>
            <w:left w:w="108" w:type="dxa"/>
            <w:bottom w:w="0" w:type="dxa"/>
            <w:right w:w="108" w:type="dxa"/>
          </w:tblCellMar>
        </w:tblPrEx>
        <w:trPr>
          <w:trHeight w:val="1170"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电梯系统维护</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）定期检查电梯机房，排除安全隐患，并做好记录；</w:t>
            </w:r>
            <w:r>
              <w:rPr>
                <w:rFonts w:hint="default" w:ascii="宋体" w:hAnsi="宋体" w:eastAsia="宋体"/>
                <w:color w:val="auto"/>
                <w:position w:val="0"/>
                <w:sz w:val="21"/>
                <w:szCs w:val="21"/>
              </w:rPr>
              <w:br w:type="textWrapping" w:clear="all"/>
            </w: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）全力解决电梯临时故障，如需专业公司进行处理的故障，则应及时反馈给招标方，并联系专业电梯维修公司，尽快维修解决，并做好相关事故记录工作，相关工作人员要求具备资格证；</w:t>
            </w:r>
            <w:r>
              <w:rPr>
                <w:rFonts w:hint="default" w:ascii="宋体" w:hAnsi="宋体" w:eastAsia="宋体"/>
                <w:color w:val="auto"/>
                <w:position w:val="0"/>
                <w:sz w:val="21"/>
                <w:szCs w:val="21"/>
              </w:rPr>
              <w:br w:type="textWrapping" w:clear="all"/>
            </w: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）协助专业公司进行电梯定期维保工作。</w:t>
            </w:r>
          </w:p>
        </w:tc>
      </w:tr>
      <w:tr>
        <w:tblPrEx>
          <w:tblLayout w:type="fixed"/>
          <w:tblCellMar>
            <w:top w:w="0" w:type="dxa"/>
            <w:left w:w="108" w:type="dxa"/>
            <w:bottom w:w="0" w:type="dxa"/>
            <w:right w:w="108" w:type="dxa"/>
          </w:tblCellMar>
        </w:tblPrEx>
        <w:trPr>
          <w:trHeight w:val="840" w:hRule="atLeast"/>
        </w:trPr>
        <w:tc>
          <w:tcPr>
            <w:tcW w:w="1464"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其他</w:t>
            </w:r>
          </w:p>
        </w:tc>
        <w:tc>
          <w:tcPr>
            <w:tcW w:w="7836"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left"/>
              <w:rPr>
                <w:rFonts w:hint="default" w:ascii="宋体" w:hAnsi="宋体" w:eastAsia="宋体"/>
                <w:color w:val="auto"/>
                <w:position w:val="0"/>
                <w:sz w:val="21"/>
                <w:szCs w:val="21"/>
              </w:rPr>
            </w:pP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）根据招标方需求，尽力完成交办的临时性服务任务。</w:t>
            </w:r>
            <w:r>
              <w:rPr>
                <w:rFonts w:hint="default" w:ascii="宋体" w:hAnsi="宋体" w:eastAsia="宋体"/>
                <w:color w:val="auto"/>
                <w:position w:val="0"/>
                <w:sz w:val="21"/>
                <w:szCs w:val="21"/>
              </w:rPr>
              <w:br w:type="textWrapping" w:clear="all"/>
            </w:r>
            <w:r>
              <w:rPr>
                <w:rFonts w:hint="default" w:ascii="宋体" w:hAnsi="Times New Roman" w:eastAsia="Times New Roman"/>
                <w:color w:val="auto"/>
                <w:position w:val="0"/>
                <w:sz w:val="21"/>
                <w:szCs w:val="21"/>
              </w:rPr>
              <w:t>（</w:t>
            </w:r>
            <w:r>
              <w:rPr>
                <w:rFonts w:hint="default" w:ascii="宋体" w:hAnsi="宋体" w:eastAsia="宋体"/>
                <w:color w:val="auto"/>
                <w:position w:val="0"/>
                <w:sz w:val="21"/>
                <w:szCs w:val="21"/>
              </w:rPr>
              <w:t>2</w:t>
            </w:r>
            <w:r>
              <w:rPr>
                <w:rFonts w:hint="default" w:ascii="宋体" w:hAnsi="Times New Roman" w:eastAsia="Times New Roman"/>
                <w:color w:val="auto"/>
                <w:position w:val="0"/>
                <w:sz w:val="21"/>
                <w:szCs w:val="21"/>
              </w:rPr>
              <w:t>）应急响应服务：项目如遇突发性事件，及时报告项目主管和招标方相关负责人，尽力协助相关人员处理突发事件。</w:t>
            </w:r>
          </w:p>
        </w:tc>
      </w:tr>
    </w:tbl>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p>
    <w:p>
      <w:pPr>
        <w:pStyle w:val="2"/>
        <w:numPr>
          <w:ilvl w:val="0"/>
          <w:numId w:val="0"/>
        </w:numPr>
        <w:autoSpaceDE/>
        <w:autoSpaceDN/>
        <w:spacing w:before="0" w:after="160" w:line="360" w:lineRule="auto"/>
        <w:ind w:right="0" w:firstLine="0"/>
        <w:jc w:val="both"/>
        <w:outlineLvl w:val="2"/>
        <w:rPr>
          <w:rFonts w:hint="default" w:ascii="Times New Roman" w:hAnsi="Times New Roman" w:eastAsia="Times New Roman"/>
          <w:b/>
          <w:color w:val="auto"/>
          <w:position w:val="0"/>
          <w:sz w:val="21"/>
          <w:szCs w:val="21"/>
        </w:rPr>
      </w:pPr>
      <w:r>
        <w:rPr>
          <w:rFonts w:hint="default" w:ascii="Times New Roman" w:hAnsi="Times New Roman" w:eastAsia="Times New Roman"/>
          <w:b/>
          <w:color w:val="auto"/>
          <w:position w:val="0"/>
          <w:sz w:val="21"/>
          <w:szCs w:val="21"/>
        </w:rPr>
        <w:t>2.5 绿化管理</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b/>
          <w:color w:val="auto"/>
          <w:position w:val="0"/>
          <w:sz w:val="21"/>
          <w:szCs w:val="21"/>
        </w:rPr>
      </w:pPr>
      <w:r>
        <w:rPr>
          <w:rFonts w:hint="default" w:ascii="宋体" w:hAnsi="Times New Roman" w:eastAsia="Times New Roman"/>
          <w:b/>
          <w:color w:val="auto"/>
          <w:position w:val="0"/>
          <w:sz w:val="21"/>
          <w:szCs w:val="21"/>
        </w:rPr>
        <w:t>绿化养护要求：</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2.5.1</w:t>
      </w:r>
      <w:r>
        <w:rPr>
          <w:rFonts w:hint="default" w:ascii="宋体" w:hAnsi="Times New Roman" w:eastAsia="Times New Roman"/>
          <w:color w:val="auto"/>
          <w:position w:val="0"/>
          <w:sz w:val="21"/>
          <w:szCs w:val="21"/>
        </w:rPr>
        <w:t>植物养护标准：</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对植物作适当的布局调整，做到无裸露土地。对植物群落进行科学养护，使乔、灌、花、草生长茂盛，季相分明，色彩丰富，营造优美植物景观。</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草坪生长茂盛，无空秃，无明显杂草。做到黄土不裸露，保持叶面清洁，有整体观赏效果。</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树木及时修剪，无徒长枝、病虫枝、过密枝、枯枝、伤损枝；宿根植物及时翻种、断根、间删；植物无死株。</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2.5.2</w:t>
      </w:r>
      <w:r>
        <w:rPr>
          <w:rFonts w:hint="default" w:ascii="宋体" w:hAnsi="Times New Roman" w:eastAsia="Times New Roman"/>
          <w:color w:val="auto"/>
          <w:position w:val="0"/>
          <w:sz w:val="21"/>
          <w:szCs w:val="21"/>
        </w:rPr>
        <w:t>树木成活率标准：</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树木成活率</w:t>
      </w:r>
      <w:r>
        <w:rPr>
          <w:rFonts w:hint="default" w:ascii="宋体" w:hAnsi="宋体" w:eastAsia="宋体"/>
          <w:color w:val="auto"/>
          <w:position w:val="0"/>
          <w:sz w:val="21"/>
          <w:szCs w:val="21"/>
        </w:rPr>
        <w:t>98%</w:t>
      </w:r>
      <w:r>
        <w:rPr>
          <w:rFonts w:hint="default" w:ascii="宋体" w:hAnsi="Times New Roman" w:eastAsia="Times New Roman"/>
          <w:color w:val="auto"/>
          <w:position w:val="0"/>
          <w:sz w:val="21"/>
          <w:szCs w:val="21"/>
        </w:rPr>
        <w:t>以上；树木保存率</w:t>
      </w:r>
      <w:r>
        <w:rPr>
          <w:rFonts w:hint="default" w:ascii="宋体" w:hAnsi="宋体" w:eastAsia="宋体"/>
          <w:color w:val="auto"/>
          <w:position w:val="0"/>
          <w:sz w:val="21"/>
          <w:szCs w:val="21"/>
        </w:rPr>
        <w:t>100%</w:t>
      </w:r>
      <w:r>
        <w:rPr>
          <w:rFonts w:hint="default" w:ascii="宋体" w:hAnsi="Times New Roman" w:eastAsia="Times New Roman"/>
          <w:color w:val="auto"/>
          <w:position w:val="0"/>
          <w:sz w:val="21"/>
          <w:szCs w:val="21"/>
        </w:rPr>
        <w:t>。</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2.5.3</w:t>
      </w:r>
      <w:r>
        <w:rPr>
          <w:rFonts w:hint="default" w:ascii="宋体" w:hAnsi="Times New Roman" w:eastAsia="Times New Roman"/>
          <w:color w:val="auto"/>
          <w:position w:val="0"/>
          <w:sz w:val="21"/>
          <w:szCs w:val="21"/>
        </w:rPr>
        <w:t>设施维护标准：</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绿地附属设施完好、分布合理、放置整齐、保持清洁。</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园路、铺装地坪平整，无大面积破损、无积水、无淤泥。</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指示牌、禁令牌、宣传牌放置合理，醒目、完善、规范。</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2.5.4</w:t>
      </w:r>
      <w:r>
        <w:rPr>
          <w:rFonts w:hint="default" w:ascii="宋体" w:hAnsi="Times New Roman" w:eastAsia="Times New Roman"/>
          <w:color w:val="auto"/>
          <w:position w:val="0"/>
          <w:sz w:val="21"/>
          <w:szCs w:val="21"/>
        </w:rPr>
        <w:t>卫生标准：</w:t>
      </w:r>
    </w:p>
    <w:p>
      <w:pPr>
        <w:numPr>
          <w:ilvl w:val="0"/>
          <w:numId w:val="0"/>
        </w:numPr>
        <w:tabs>
          <w:tab w:val="left" w:pos="315"/>
          <w:tab w:val="left" w:pos="945"/>
          <w:tab w:val="left" w:pos="3360"/>
        </w:tabs>
        <w:autoSpaceDE/>
        <w:autoSpaceDN/>
        <w:spacing w:before="12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绿地整洁，地面卫生，无垃圾杂物，无堆物堆料、搭棚、侵占等现象；枯枝、落叶及时清扫干净；设施基本完好，无明显人为损坏，对违法行为能及时发现和处理；绿化生产垃圾能及时清运。</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2.5.5</w:t>
      </w:r>
      <w:r>
        <w:rPr>
          <w:rFonts w:hint="default" w:ascii="宋体" w:hAnsi="Times New Roman" w:eastAsia="Times New Roman"/>
          <w:color w:val="auto"/>
          <w:position w:val="0"/>
          <w:sz w:val="21"/>
          <w:szCs w:val="21"/>
        </w:rPr>
        <w:t>管理标准：</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每月提供月度养护计划及安排表。</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绿地管理制度全面落实，档案资料完整、详尽，工作人员挂牌上岗。</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无违章占绿、无违法建设。</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秩序良好，无乱堆乱放、晾晒衣物现象。</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有防台、抗雪预案及措施，对危树及时采取修枝、加固或申报更换等措施，遇灾害性天气及时组织进行抢扶。</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2.5.6</w:t>
      </w:r>
      <w:r>
        <w:rPr>
          <w:rFonts w:hint="default" w:ascii="宋体" w:hAnsi="Times New Roman" w:eastAsia="Times New Roman"/>
          <w:color w:val="auto"/>
          <w:position w:val="0"/>
          <w:sz w:val="21"/>
          <w:szCs w:val="21"/>
        </w:rPr>
        <w:t>养护标准：应达到《绿化养护二级标准》。</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2.5.7</w:t>
      </w:r>
      <w:r>
        <w:rPr>
          <w:rFonts w:hint="default" w:ascii="宋体" w:hAnsi="Times New Roman" w:eastAsia="Times New Roman"/>
          <w:color w:val="auto"/>
          <w:position w:val="0"/>
          <w:sz w:val="21"/>
          <w:szCs w:val="21"/>
        </w:rPr>
        <w:t>灌溉：适期、适量的灌溉，夏季灌溉早晚进行，冬季灌溉中午进行</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2.5.8</w:t>
      </w:r>
      <w:r>
        <w:rPr>
          <w:rFonts w:hint="default" w:ascii="宋体" w:hAnsi="Times New Roman" w:eastAsia="Times New Roman"/>
          <w:color w:val="auto"/>
          <w:position w:val="0"/>
          <w:sz w:val="21"/>
          <w:szCs w:val="21"/>
        </w:rPr>
        <w:t>排水：暴雨后排除树木周围的积水</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2.5.9</w:t>
      </w:r>
      <w:r>
        <w:rPr>
          <w:rFonts w:hint="default" w:ascii="宋体" w:hAnsi="Times New Roman" w:eastAsia="Times New Roman"/>
          <w:color w:val="auto"/>
          <w:position w:val="0"/>
          <w:sz w:val="21"/>
          <w:szCs w:val="21"/>
        </w:rPr>
        <w:t>中耕除草：选在晴朗或初晴天气，且土壤不过分潮湿的时候进行</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2.5.10</w:t>
      </w:r>
      <w:r>
        <w:rPr>
          <w:rFonts w:hint="default" w:ascii="宋体" w:hAnsi="Times New Roman" w:eastAsia="Times New Roman"/>
          <w:color w:val="auto"/>
          <w:position w:val="0"/>
          <w:sz w:val="21"/>
          <w:szCs w:val="21"/>
        </w:rPr>
        <w:t>施肥：休眠期，需施基肥，生长期施追肥</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2.5.11</w:t>
      </w:r>
      <w:r>
        <w:rPr>
          <w:rFonts w:hint="default" w:ascii="宋体" w:hAnsi="Times New Roman" w:eastAsia="Times New Roman"/>
          <w:color w:val="auto"/>
          <w:position w:val="0"/>
          <w:sz w:val="21"/>
          <w:szCs w:val="21"/>
        </w:rPr>
        <w:t>整形修剪：春、夏季开花的花木，应在花后及时修剪；秋季开花的花木和一般树木，应在休眠期进行。</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2.5.12</w:t>
      </w:r>
      <w:r>
        <w:rPr>
          <w:rFonts w:hint="default" w:ascii="宋体" w:hAnsi="Times New Roman" w:eastAsia="Times New Roman"/>
          <w:color w:val="auto"/>
          <w:position w:val="0"/>
          <w:sz w:val="21"/>
          <w:szCs w:val="21"/>
        </w:rPr>
        <w:t>防护设施：预防台风和大雪。</w:t>
      </w:r>
    </w:p>
    <w:p>
      <w:pPr>
        <w:numPr>
          <w:ilvl w:val="0"/>
          <w:numId w:val="0"/>
        </w:numPr>
        <w:autoSpaceDE/>
        <w:autoSpaceDN/>
        <w:snapToGrid w:val="0"/>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2.5.13</w:t>
      </w:r>
      <w:r>
        <w:rPr>
          <w:rFonts w:hint="default" w:ascii="宋体" w:hAnsi="Times New Roman" w:eastAsia="Times New Roman"/>
          <w:color w:val="auto"/>
          <w:position w:val="0"/>
          <w:sz w:val="21"/>
          <w:szCs w:val="21"/>
        </w:rPr>
        <w:t>养护人员配置：</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养护人员一名（可兼职），保证每周至少一天进行绿化养护服务；每月另派园艺师驻场指导作业人员的工作不少于</w:t>
      </w:r>
      <w:r>
        <w:rPr>
          <w:rFonts w:hint="default" w:ascii="宋体" w:hAnsi="宋体" w:eastAsia="宋体"/>
          <w:color w:val="auto"/>
          <w:position w:val="0"/>
          <w:sz w:val="21"/>
          <w:szCs w:val="21"/>
        </w:rPr>
        <w:t>1</w:t>
      </w:r>
      <w:r>
        <w:rPr>
          <w:rFonts w:hint="default" w:ascii="宋体" w:hAnsi="Times New Roman" w:eastAsia="Times New Roman"/>
          <w:color w:val="auto"/>
          <w:position w:val="0"/>
          <w:sz w:val="21"/>
          <w:szCs w:val="21"/>
        </w:rPr>
        <w:t>次。</w:t>
      </w:r>
    </w:p>
    <w:p>
      <w:pPr>
        <w:pStyle w:val="2"/>
        <w:numPr>
          <w:ilvl w:val="0"/>
          <w:numId w:val="0"/>
        </w:numPr>
        <w:autoSpaceDE/>
        <w:autoSpaceDN/>
        <w:spacing w:before="0" w:after="160" w:line="360" w:lineRule="auto"/>
        <w:ind w:right="0" w:firstLine="0"/>
        <w:jc w:val="both"/>
        <w:outlineLvl w:val="2"/>
        <w:rPr>
          <w:rFonts w:hint="default" w:ascii="Times New Roman" w:hAnsi="Times New Roman" w:eastAsia="Times New Roman"/>
          <w:b/>
          <w:color w:val="auto"/>
          <w:position w:val="0"/>
          <w:sz w:val="21"/>
          <w:szCs w:val="21"/>
        </w:rPr>
      </w:pPr>
    </w:p>
    <w:p>
      <w:pPr>
        <w:pStyle w:val="2"/>
        <w:numPr>
          <w:ilvl w:val="0"/>
          <w:numId w:val="0"/>
        </w:numPr>
        <w:autoSpaceDE/>
        <w:autoSpaceDN/>
        <w:spacing w:before="0" w:after="160" w:line="360" w:lineRule="auto"/>
        <w:ind w:right="0" w:firstLine="0"/>
        <w:jc w:val="both"/>
        <w:outlineLvl w:val="2"/>
        <w:rPr>
          <w:rFonts w:hint="default" w:ascii="Times New Roman" w:hAnsi="Times New Roman" w:eastAsia="Times New Roman"/>
          <w:b/>
          <w:color w:val="auto"/>
          <w:position w:val="0"/>
          <w:sz w:val="21"/>
          <w:szCs w:val="21"/>
        </w:rPr>
      </w:pPr>
      <w:r>
        <w:rPr>
          <w:rFonts w:hint="default" w:ascii="Times New Roman" w:hAnsi="Times New Roman" w:eastAsia="Times New Roman"/>
          <w:b/>
          <w:color w:val="auto"/>
          <w:position w:val="0"/>
          <w:sz w:val="21"/>
          <w:szCs w:val="21"/>
        </w:rPr>
        <w:t>2.6 物业服务考核</w:t>
      </w:r>
    </w:p>
    <w:p>
      <w:pPr>
        <w:numPr>
          <w:ilvl w:val="0"/>
          <w:numId w:val="0"/>
        </w:numPr>
        <w:autoSpaceDE/>
        <w:autoSpaceDN/>
        <w:snapToGrid w:val="0"/>
        <w:spacing w:before="0" w:after="160" w:line="360" w:lineRule="auto"/>
        <w:ind w:right="0" w:firstLine="0"/>
        <w:jc w:val="both"/>
        <w:rPr>
          <w:rFonts w:hint="default" w:ascii="宋体" w:hAnsi="Arial" w:eastAsia="Arial"/>
          <w:color w:val="auto"/>
          <w:position w:val="0"/>
          <w:sz w:val="21"/>
          <w:szCs w:val="21"/>
        </w:rPr>
      </w:pPr>
      <w:r>
        <w:rPr>
          <w:rFonts w:hint="default" w:ascii="宋体" w:hAnsi="Arial" w:eastAsia="Arial"/>
          <w:color w:val="auto"/>
          <w:position w:val="0"/>
          <w:sz w:val="21"/>
          <w:szCs w:val="21"/>
        </w:rPr>
        <w:t>1</w:t>
      </w:r>
      <w:r>
        <w:rPr>
          <w:rFonts w:hint="default" w:ascii="宋体" w:hAnsi="Times New Roman" w:eastAsia="Times New Roman"/>
          <w:color w:val="auto"/>
          <w:position w:val="0"/>
          <w:sz w:val="21"/>
          <w:szCs w:val="21"/>
        </w:rPr>
        <w:t>）定期检查：每月检查由招标方人员与中标方的管理人员组成，对委托管理部位及中标方服务质量进行检查，按物业服务考核标准进行考核，扣分在</w:t>
      </w:r>
      <w:r>
        <w:rPr>
          <w:rFonts w:hint="default" w:ascii="宋体" w:hAnsi="Arial" w:eastAsia="Arial"/>
          <w:color w:val="auto"/>
          <w:position w:val="0"/>
          <w:sz w:val="21"/>
          <w:szCs w:val="21"/>
        </w:rPr>
        <w:t>20</w:t>
      </w:r>
      <w:r>
        <w:rPr>
          <w:rFonts w:hint="default" w:ascii="宋体" w:hAnsi="Times New Roman" w:eastAsia="Times New Roman"/>
          <w:color w:val="auto"/>
          <w:position w:val="0"/>
          <w:sz w:val="21"/>
          <w:szCs w:val="21"/>
        </w:rPr>
        <w:t>分以上扣除当月服务费</w:t>
      </w:r>
      <w:r>
        <w:rPr>
          <w:rFonts w:hint="default" w:ascii="宋体" w:hAnsi="Arial" w:eastAsia="Arial"/>
          <w:color w:val="auto"/>
          <w:position w:val="0"/>
          <w:sz w:val="21"/>
          <w:szCs w:val="21"/>
        </w:rPr>
        <w:t>1%</w:t>
      </w:r>
      <w:r>
        <w:rPr>
          <w:rFonts w:hint="default" w:ascii="宋体" w:hAnsi="Times New Roman" w:eastAsia="Times New Roman"/>
          <w:color w:val="auto"/>
          <w:position w:val="0"/>
          <w:sz w:val="21"/>
          <w:szCs w:val="21"/>
        </w:rPr>
        <w:t>，扣分超过</w:t>
      </w:r>
      <w:r>
        <w:rPr>
          <w:rFonts w:hint="default" w:ascii="宋体" w:hAnsi="Arial" w:eastAsia="Arial"/>
          <w:color w:val="auto"/>
          <w:position w:val="0"/>
          <w:sz w:val="21"/>
          <w:szCs w:val="21"/>
        </w:rPr>
        <w:t>30</w:t>
      </w:r>
      <w:r>
        <w:rPr>
          <w:rFonts w:hint="default" w:ascii="宋体" w:hAnsi="Times New Roman" w:eastAsia="Times New Roman"/>
          <w:color w:val="auto"/>
          <w:position w:val="0"/>
          <w:sz w:val="21"/>
          <w:szCs w:val="21"/>
        </w:rPr>
        <w:t>分，扣除当月服务费</w:t>
      </w:r>
      <w:r>
        <w:rPr>
          <w:rFonts w:hint="default" w:ascii="宋体" w:hAnsi="Arial" w:eastAsia="Arial"/>
          <w:color w:val="auto"/>
          <w:position w:val="0"/>
          <w:sz w:val="21"/>
          <w:szCs w:val="21"/>
        </w:rPr>
        <w:t>5%</w:t>
      </w:r>
      <w:r>
        <w:rPr>
          <w:rFonts w:hint="default" w:ascii="宋体" w:hAnsi="Times New Roman" w:eastAsia="Times New Roman"/>
          <w:color w:val="auto"/>
          <w:position w:val="0"/>
          <w:sz w:val="21"/>
          <w:szCs w:val="21"/>
        </w:rPr>
        <w:t>。（从履约保证金内扣除）</w:t>
      </w:r>
    </w:p>
    <w:p>
      <w:pPr>
        <w:numPr>
          <w:ilvl w:val="0"/>
          <w:numId w:val="0"/>
        </w:numPr>
        <w:autoSpaceDE/>
        <w:autoSpaceDN/>
        <w:snapToGrid w:val="0"/>
        <w:spacing w:before="0" w:after="160" w:line="360" w:lineRule="auto"/>
        <w:ind w:right="0" w:firstLine="0"/>
        <w:jc w:val="both"/>
        <w:rPr>
          <w:rFonts w:hint="default" w:ascii="宋体" w:hAnsi="Arial" w:eastAsia="Arial"/>
          <w:color w:val="auto"/>
          <w:position w:val="0"/>
          <w:sz w:val="21"/>
          <w:szCs w:val="21"/>
        </w:rPr>
      </w:pPr>
      <w:r>
        <w:rPr>
          <w:rFonts w:hint="default" w:ascii="宋体" w:hAnsi="Arial" w:eastAsia="Arial"/>
          <w:color w:val="auto"/>
          <w:position w:val="0"/>
          <w:sz w:val="21"/>
          <w:szCs w:val="21"/>
        </w:rPr>
        <w:t>2</w:t>
      </w:r>
      <w:r>
        <w:rPr>
          <w:rFonts w:hint="default" w:ascii="宋体" w:hAnsi="Times New Roman" w:eastAsia="Times New Roman"/>
          <w:color w:val="auto"/>
          <w:position w:val="0"/>
          <w:sz w:val="21"/>
          <w:szCs w:val="21"/>
        </w:rPr>
        <w:t>）不定期检查：招标方将不定期对物业服务进行检查，若中标方服务标准达不到相关要求，必须立即整改，整改不力，无法满足招标方要求和相关标准，扣除当月服务费</w:t>
      </w:r>
      <w:r>
        <w:rPr>
          <w:rFonts w:hint="default" w:ascii="宋体" w:hAnsi="Arial" w:eastAsia="Arial"/>
          <w:color w:val="auto"/>
          <w:position w:val="0"/>
          <w:sz w:val="21"/>
          <w:szCs w:val="21"/>
        </w:rPr>
        <w:t>10%</w:t>
      </w:r>
      <w:r>
        <w:rPr>
          <w:rFonts w:hint="default" w:ascii="宋体" w:hAnsi="Times New Roman" w:eastAsia="Times New Roman"/>
          <w:color w:val="auto"/>
          <w:position w:val="0"/>
          <w:sz w:val="21"/>
          <w:szCs w:val="21"/>
        </w:rPr>
        <w:t>。</w:t>
      </w:r>
    </w:p>
    <w:p>
      <w:pPr>
        <w:numPr>
          <w:ilvl w:val="0"/>
          <w:numId w:val="0"/>
        </w:numPr>
        <w:tabs>
          <w:tab w:val="left" w:pos="2394"/>
        </w:tabs>
        <w:autoSpaceDE/>
        <w:autoSpaceDN/>
        <w:snapToGrid w:val="0"/>
        <w:spacing w:before="0" w:after="160" w:line="360" w:lineRule="auto"/>
        <w:ind w:right="0" w:firstLine="0"/>
        <w:jc w:val="both"/>
        <w:rPr>
          <w:rFonts w:hint="default" w:ascii="宋体" w:hAnsi="Arial" w:eastAsia="Arial"/>
          <w:color w:val="auto"/>
          <w:position w:val="0"/>
          <w:sz w:val="21"/>
          <w:szCs w:val="21"/>
        </w:rPr>
      </w:pPr>
      <w:r>
        <w:rPr>
          <w:rFonts w:hint="default" w:ascii="宋体" w:hAnsi="Arial" w:eastAsia="Arial"/>
          <w:color w:val="auto"/>
          <w:position w:val="0"/>
          <w:sz w:val="21"/>
          <w:szCs w:val="21"/>
        </w:rPr>
        <w:t>3</w:t>
      </w:r>
      <w:r>
        <w:rPr>
          <w:rFonts w:hint="default" w:ascii="宋体" w:hAnsi="Times New Roman" w:eastAsia="Times New Roman"/>
          <w:color w:val="auto"/>
          <w:position w:val="0"/>
          <w:sz w:val="21"/>
          <w:szCs w:val="21"/>
        </w:rPr>
        <w:t>）招标方采取定期和不定期的方式对中标方服务人员数量、资质等进行检查、考核，若服务人员的数量、资质等不满足中标方承诺的人员配置方案，招标方将按比例扣除当月的服务费。</w:t>
      </w:r>
    </w:p>
    <w:p>
      <w:pPr>
        <w:numPr>
          <w:ilvl w:val="0"/>
          <w:numId w:val="0"/>
        </w:numPr>
        <w:tabs>
          <w:tab w:val="left" w:pos="2394"/>
        </w:tabs>
        <w:autoSpaceDE/>
        <w:autoSpaceDN/>
        <w:snapToGrid w:val="0"/>
        <w:spacing w:before="0" w:after="160" w:line="360" w:lineRule="auto"/>
        <w:ind w:right="0" w:firstLine="0"/>
        <w:jc w:val="both"/>
        <w:rPr>
          <w:rFonts w:hint="default" w:ascii="宋体" w:hAnsi="Arial" w:eastAsia="Arial"/>
          <w:color w:val="auto"/>
          <w:position w:val="0"/>
          <w:sz w:val="21"/>
          <w:szCs w:val="21"/>
        </w:rPr>
      </w:pPr>
      <w:r>
        <w:rPr>
          <w:rFonts w:hint="default" w:ascii="宋体" w:hAnsi="Arial" w:eastAsia="Arial"/>
          <w:color w:val="auto"/>
          <w:position w:val="0"/>
          <w:sz w:val="21"/>
          <w:szCs w:val="21"/>
        </w:rPr>
        <w:t>4</w:t>
      </w:r>
      <w:r>
        <w:rPr>
          <w:rFonts w:hint="default" w:ascii="宋体" w:hAnsi="Times New Roman" w:eastAsia="Times New Roman"/>
          <w:color w:val="auto"/>
          <w:position w:val="0"/>
          <w:sz w:val="21"/>
          <w:szCs w:val="21"/>
        </w:rPr>
        <w:t>）若中标方管理不善（管理失误），整改不力，招标方有权终止合同，给招标方造成经济损失，中标方须赔偿相关损失。</w:t>
      </w:r>
    </w:p>
    <w:p>
      <w:pPr>
        <w:numPr>
          <w:ilvl w:val="0"/>
          <w:numId w:val="0"/>
        </w:numPr>
        <w:autoSpaceDE/>
        <w:autoSpaceDN/>
        <w:snapToGrid w:val="0"/>
        <w:spacing w:before="0" w:after="160" w:line="360" w:lineRule="auto"/>
        <w:ind w:right="0" w:firstLine="0"/>
        <w:jc w:val="both"/>
        <w:rPr>
          <w:rFonts w:hint="default" w:ascii="宋体" w:hAnsi="Arial" w:eastAsia="Arial"/>
          <w:color w:val="auto"/>
          <w:position w:val="0"/>
          <w:sz w:val="21"/>
          <w:szCs w:val="21"/>
        </w:rPr>
      </w:pPr>
      <w:r>
        <w:rPr>
          <w:rFonts w:hint="default" w:ascii="宋体" w:hAnsi="Arial" w:eastAsia="Arial"/>
          <w:color w:val="auto"/>
          <w:position w:val="0"/>
          <w:sz w:val="21"/>
          <w:szCs w:val="21"/>
        </w:rPr>
        <w:t>5</w:t>
      </w:r>
      <w:r>
        <w:rPr>
          <w:rFonts w:hint="default" w:ascii="宋体" w:hAnsi="Times New Roman" w:eastAsia="Times New Roman"/>
          <w:color w:val="auto"/>
          <w:position w:val="0"/>
          <w:sz w:val="21"/>
          <w:szCs w:val="21"/>
        </w:rPr>
        <w:t>）合同期内中标方如出现服务质量重大问题投诉等，予适当经济处罚，罚金从服务费中扣除。</w:t>
      </w:r>
    </w:p>
    <w:p>
      <w:pPr>
        <w:numPr>
          <w:ilvl w:val="0"/>
          <w:numId w:val="0"/>
        </w:numPr>
        <w:autoSpaceDE/>
        <w:autoSpaceDN/>
        <w:snapToGrid w:val="0"/>
        <w:spacing w:before="0" w:after="160" w:line="360" w:lineRule="auto"/>
        <w:ind w:right="0" w:firstLine="0"/>
        <w:jc w:val="both"/>
        <w:rPr>
          <w:rFonts w:hint="default" w:ascii="宋体" w:hAnsi="Arial" w:eastAsia="Arial"/>
          <w:color w:val="auto"/>
          <w:position w:val="0"/>
          <w:sz w:val="21"/>
          <w:szCs w:val="21"/>
        </w:rPr>
      </w:pPr>
      <w:r>
        <w:rPr>
          <w:rFonts w:hint="default" w:ascii="宋体" w:hAnsi="Arial" w:eastAsia="Arial"/>
          <w:color w:val="auto"/>
          <w:position w:val="0"/>
          <w:sz w:val="21"/>
          <w:szCs w:val="21"/>
        </w:rPr>
        <w:t>6</w:t>
      </w:r>
      <w:r>
        <w:rPr>
          <w:rFonts w:hint="default" w:ascii="宋体" w:hAnsi="Times New Roman" w:eastAsia="Times New Roman"/>
          <w:color w:val="auto"/>
          <w:position w:val="0"/>
          <w:sz w:val="21"/>
          <w:szCs w:val="21"/>
        </w:rPr>
        <w:t>）合同期内，若中标方在不提前三个月告知招标方的情况下擅自终止合同，履约保证金不予退还。</w:t>
      </w:r>
    </w:p>
    <w:p>
      <w:pPr>
        <w:numPr>
          <w:ilvl w:val="0"/>
          <w:numId w:val="0"/>
        </w:numPr>
        <w:autoSpaceDE/>
        <w:autoSpaceDN/>
        <w:spacing w:before="0" w:after="160" w:line="360" w:lineRule="auto"/>
        <w:ind w:right="0" w:firstLine="0"/>
        <w:jc w:val="both"/>
        <w:rPr>
          <w:rFonts w:hint="default" w:ascii="宋体" w:hAnsi="Times New Roman" w:eastAsia="Times New Roman"/>
          <w:color w:val="auto"/>
          <w:position w:val="0"/>
          <w:sz w:val="21"/>
          <w:szCs w:val="21"/>
        </w:rPr>
      </w:pPr>
      <w:r>
        <w:rPr>
          <w:rFonts w:hint="default" w:ascii="宋体" w:hAnsi="宋体" w:eastAsia="宋体"/>
          <w:color w:val="auto"/>
          <w:position w:val="0"/>
          <w:sz w:val="21"/>
          <w:szCs w:val="21"/>
        </w:rPr>
        <w:t>7</w:t>
      </w:r>
      <w:r>
        <w:rPr>
          <w:rFonts w:hint="default" w:ascii="宋体" w:hAnsi="Times New Roman" w:eastAsia="Times New Roman"/>
          <w:color w:val="auto"/>
          <w:position w:val="0"/>
          <w:sz w:val="21"/>
          <w:szCs w:val="21"/>
        </w:rPr>
        <w:t>）物业服务考核标准：</w:t>
      </w:r>
    </w:p>
    <w:tbl>
      <w:tblPr>
        <w:tblStyle w:val="5"/>
        <w:tblpPr w:leftFromText="180" w:rightFromText="180" w:vertAnchor="page" w:horzAnchor="margin" w:tblpXSpec="left" w:tblpY="2065"/>
        <w:tblW w:w="9515" w:type="dxa"/>
        <w:tblInd w:w="0" w:type="dxa"/>
        <w:tblLayout w:type="fixed"/>
        <w:tblCellMar>
          <w:top w:w="0" w:type="dxa"/>
          <w:left w:w="108" w:type="dxa"/>
          <w:bottom w:w="0" w:type="dxa"/>
          <w:right w:w="108" w:type="dxa"/>
        </w:tblCellMar>
      </w:tblPr>
      <w:tblGrid>
        <w:gridCol w:w="2550"/>
        <w:gridCol w:w="211"/>
        <w:gridCol w:w="1477"/>
        <w:gridCol w:w="211"/>
        <w:gridCol w:w="2744"/>
        <w:gridCol w:w="2322"/>
      </w:tblGrid>
      <w:tr>
        <w:tblPrEx>
          <w:tblLayout w:type="fixed"/>
          <w:tblCellMar>
            <w:top w:w="0" w:type="dxa"/>
            <w:left w:w="108" w:type="dxa"/>
            <w:bottom w:w="0" w:type="dxa"/>
            <w:right w:w="108" w:type="dxa"/>
          </w:tblCellMar>
        </w:tblPrEx>
        <w:trPr>
          <w:trHeight w:val="375" w:hRule="atLeast"/>
        </w:trPr>
        <w:tc>
          <w:tcPr>
            <w:tcW w:w="9515" w:type="dxa"/>
            <w:gridSpan w:val="6"/>
            <w:tcBorders>
              <w:top w:val="single" w:color="auto" w:sz="4" w:space="0"/>
              <w:left w:val="single" w:color="auto" w:sz="4" w:space="0"/>
              <w:bottom w:val="single" w:color="auto" w:sz="4" w:space="0"/>
              <w:right w:val="single" w:color="auto" w:sz="4" w:space="0"/>
            </w:tcBorders>
            <w:shd w:val="clear" w:color="000000" w:fill="969696"/>
            <w:vAlign w:val="top"/>
          </w:tcPr>
          <w:p>
            <w:pPr>
              <w:numPr>
                <w:ilvl w:val="0"/>
                <w:numId w:val="0"/>
              </w:numPr>
              <w:autoSpaceDE/>
              <w:autoSpaceDN/>
              <w:spacing w:before="0" w:after="160" w:line="360" w:lineRule="auto"/>
              <w:ind w:right="0" w:firstLine="0"/>
              <w:jc w:val="both"/>
              <w:rPr>
                <w:rFonts w:hint="default" w:ascii="宋体" w:hAnsi="宋体" w:eastAsia="宋体"/>
                <w:b/>
                <w:color w:val="auto"/>
                <w:position w:val="0"/>
                <w:sz w:val="20"/>
                <w:szCs w:val="20"/>
              </w:rPr>
            </w:pPr>
            <w:r>
              <w:rPr>
                <w:rFonts w:hint="default" w:ascii="宋体" w:hAnsi="Times New Roman" w:eastAsia="Times New Roman"/>
                <w:b/>
                <w:color w:val="auto"/>
                <w:position w:val="0"/>
                <w:sz w:val="20"/>
                <w:szCs w:val="20"/>
              </w:rPr>
              <w:t>保洁服务内容及标准（保洁人数不少于</w:t>
            </w:r>
            <w:r>
              <w:rPr>
                <w:rFonts w:hint="default" w:ascii="宋体" w:hAnsi="宋体" w:eastAsia="宋体"/>
                <w:b/>
                <w:color w:val="auto"/>
                <w:position w:val="0"/>
                <w:sz w:val="20"/>
                <w:szCs w:val="20"/>
              </w:rPr>
              <w:t>5</w:t>
            </w:r>
            <w:r>
              <w:rPr>
                <w:rFonts w:hint="default" w:ascii="宋体" w:hAnsi="Times New Roman" w:eastAsia="Times New Roman"/>
                <w:b/>
                <w:color w:val="auto"/>
                <w:position w:val="0"/>
                <w:sz w:val="20"/>
                <w:szCs w:val="20"/>
              </w:rPr>
              <w:t>人）</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主入口大厅</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955"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吊顶、铝门框、</w:t>
            </w: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米以上墙壁擦拭</w:t>
            </w:r>
          </w:p>
        </w:tc>
        <w:tc>
          <w:tcPr>
            <w:tcW w:w="1688"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955"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无尘、无污染</w:t>
            </w:r>
          </w:p>
        </w:tc>
        <w:tc>
          <w:tcPr>
            <w:tcW w:w="2322"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480" w:hRule="atLeast"/>
        </w:trPr>
        <w:tc>
          <w:tcPr>
            <w:tcW w:w="2550"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地垫清洗、地面抛光、养护（打蜡或晶研处理）</w:t>
            </w:r>
          </w:p>
        </w:tc>
        <w:tc>
          <w:tcPr>
            <w:tcW w:w="1688"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/月</w:t>
            </w:r>
          </w:p>
        </w:tc>
        <w:tc>
          <w:tcPr>
            <w:tcW w:w="2955"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光亮，无尘，无污染</w:t>
            </w:r>
          </w:p>
        </w:tc>
        <w:tc>
          <w:tcPr>
            <w:tcW w:w="2322"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垃圾容器清洗、消毒</w:t>
            </w:r>
          </w:p>
        </w:tc>
        <w:tc>
          <w:tcPr>
            <w:tcW w:w="1688"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955"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无异味、无污渍</w:t>
            </w:r>
          </w:p>
        </w:tc>
        <w:tc>
          <w:tcPr>
            <w:tcW w:w="2322"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金属件清洗并上光</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墙身</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灯箱</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风口</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烟灰缸</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及时清理</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烟蒂不超过三只，外表清洁</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门框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天</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无灰尘、无手印、明亮</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花盆套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天</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无灰尘、盆内无垃圾</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电梯间</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地面、地毯</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地面光亮、无尘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墙面（墙面四壁）</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清洁、上光</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门槽</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及时清理</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无灰尘、无垃圾、光亮</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指示牌和按钮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无灰尘、无手印</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地毯吸尘</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地毯平整、无污渍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墙面、踢脚（擦拭）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无污渍、无尘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出入门（清洁剂擦拭）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烟灰缸、垃圾桶、植物盆、指示灯牌</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消防、照明、空调设备</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1"/>
                <w:szCs w:val="21"/>
              </w:rPr>
              <w:t>吊顶、铝门框、</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米</w:t>
            </w:r>
            <w:r>
              <w:rPr>
                <w:rFonts w:hint="default" w:ascii="宋体" w:hAnsi="宋体" w:eastAsia="宋体"/>
                <w:color w:val="auto"/>
                <w:position w:val="0"/>
                <w:sz w:val="21"/>
                <w:szCs w:val="21"/>
              </w:rPr>
              <w:t>线</w:t>
            </w:r>
            <w:r>
              <w:rPr>
                <w:rFonts w:hint="default" w:ascii="宋体" w:hAnsi="Times New Roman" w:eastAsia="Times New Roman"/>
                <w:color w:val="auto"/>
                <w:position w:val="0"/>
                <w:sz w:val="21"/>
                <w:szCs w:val="21"/>
              </w:rPr>
              <w:t>以</w:t>
            </w:r>
            <w:r>
              <w:rPr>
                <w:rFonts w:hint="default" w:ascii="宋体" w:hAnsi="宋体" w:eastAsia="宋体"/>
                <w:color w:val="auto"/>
                <w:position w:val="0"/>
                <w:sz w:val="21"/>
                <w:szCs w:val="21"/>
              </w:rPr>
              <w:t>下</w:t>
            </w:r>
            <w:r>
              <w:rPr>
                <w:rFonts w:hint="default" w:ascii="宋体" w:hAnsi="Times New Roman" w:eastAsia="Times New Roman"/>
                <w:color w:val="auto"/>
                <w:position w:val="0"/>
                <w:sz w:val="21"/>
                <w:szCs w:val="21"/>
              </w:rPr>
              <w:t>墙壁擦拭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48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地垫清洗、地面抛光、养护（打蜡或晶研处理）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光亮、地面材质无磨损</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灯片和风口</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地面、天花板（扫、擦）</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墙壁、按键盘（擦拭）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扶手、门（擦拭）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550" w:type="dxa"/>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照明设备（外表）</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955"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公共走廊及楼道</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42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地面牵尘、地毯吸尘</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地面光亮、无尘、地毯平整、无污渍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墙面、踢脚（擦拭）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无污渍、无尘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出入门（清洁剂擦拭）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525"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烟灰缸、垃圾桶、植物盆、指示灯牌</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消防、照明、空调设备</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90" w:hRule="atLeast"/>
        </w:trPr>
        <w:tc>
          <w:tcPr>
            <w:tcW w:w="2761" w:type="dxa"/>
            <w:gridSpan w:val="2"/>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1"/>
                <w:szCs w:val="21"/>
              </w:rPr>
              <w:t>吊顶、铝门框、</w:t>
            </w:r>
            <w:r>
              <w:rPr>
                <w:rFonts w:hint="default" w:ascii="宋体" w:hAnsi="宋体" w:eastAsia="宋体"/>
                <w:color w:val="auto"/>
                <w:position w:val="0"/>
                <w:sz w:val="21"/>
                <w:szCs w:val="21"/>
              </w:rPr>
              <w:t>3</w:t>
            </w:r>
            <w:r>
              <w:rPr>
                <w:rFonts w:hint="default" w:ascii="宋体" w:hAnsi="Times New Roman" w:eastAsia="Times New Roman"/>
                <w:color w:val="auto"/>
                <w:position w:val="0"/>
                <w:sz w:val="21"/>
                <w:szCs w:val="21"/>
              </w:rPr>
              <w:t>米</w:t>
            </w:r>
            <w:r>
              <w:rPr>
                <w:rFonts w:hint="default" w:ascii="宋体" w:hAnsi="宋体" w:eastAsia="宋体"/>
                <w:color w:val="auto"/>
                <w:position w:val="0"/>
                <w:sz w:val="21"/>
                <w:szCs w:val="21"/>
              </w:rPr>
              <w:t>线</w:t>
            </w:r>
            <w:r>
              <w:rPr>
                <w:rFonts w:hint="default" w:ascii="宋体" w:hAnsi="Times New Roman" w:eastAsia="Times New Roman"/>
                <w:color w:val="auto"/>
                <w:position w:val="0"/>
                <w:sz w:val="21"/>
                <w:szCs w:val="21"/>
              </w:rPr>
              <w:t>以</w:t>
            </w:r>
            <w:r>
              <w:rPr>
                <w:rFonts w:hint="default" w:ascii="宋体" w:hAnsi="宋体" w:eastAsia="宋体"/>
                <w:color w:val="auto"/>
                <w:position w:val="0"/>
                <w:sz w:val="21"/>
                <w:szCs w:val="21"/>
              </w:rPr>
              <w:t>下</w:t>
            </w:r>
            <w:r>
              <w:rPr>
                <w:rFonts w:hint="default" w:ascii="宋体" w:hAnsi="Times New Roman" w:eastAsia="Times New Roman"/>
                <w:color w:val="auto"/>
                <w:position w:val="0"/>
                <w:sz w:val="21"/>
                <w:szCs w:val="21"/>
              </w:rPr>
              <w:t>墙壁擦拭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45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地垫清洗、地面抛光、地面养护（打蜡或晶研处理）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光亮、地面材质无磨损</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灯具</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楼梯及平台</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无垃圾、死角无灰尘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扶手、栏杆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30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外漏管道</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卫生间</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地面扫、擦</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无杂物、污渍、水渍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小便池、坐厕、洗脸盆清洗消毒</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无杂物、污渍、水渍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厕隔板、坐厕板、纸架（清洗消毒）</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无杂物、污渍、水渍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照明、空调、通风设备</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无杂物、污渍、水渍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垃圾桶冲洗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及时清洗</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纸箱、空气清新剂</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及时补充</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卫生纸、洗手液的补偿</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及时补充</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无异味</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电镀件、烘手机</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光亮、无手印</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地面清洗消毒</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无污渍、无异味</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垃圾筒、厕板消毒</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无污渍、无异味</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水龙头</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无水锈、无污渍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镜面</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无水迹、无污渍、明亮</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墙面</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灯片、天花机风口</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玻璃窗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无灰尘、无水迹</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卷筒纸</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无短缺</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视需要添加</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水桶卫生间下水道</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下水管道通畅、无阻塞</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通气、排风</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及时处理</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保证卫生间无异味</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地下室</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　　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天</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无垃圾、无杂物</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门窗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各类消防设施</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高空架线管道</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无明显积尘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坡道清扫</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无垃圾、无杂物</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人防通道、门</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无明显积尘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消防栓</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无明显积尘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排水沟</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无污垢</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设备机房</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地面（拖抹）</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地面光亮、无尘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地面（吸尘）</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地毯平整、无污渍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墙面（擦拭）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无污渍、无尘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门（清洁剂擦拭）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各种标志牌的清理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排气口</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不断清洁</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排气口擦拭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地面清洗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顶灯、照明设备（外表）</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门板清洗擦拭</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会议室</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擦拭家具、摆设物</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无尘、无污渍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地毯清洁</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干净、整洁</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办公家具及用品</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空调</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照明设备（外表）</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窗台</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地面清洗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无杂物、积尘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垃圾桶的整理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管理办公室及实验室</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办公家具及用品</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实验桌面</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空调</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照明设备（外表）</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窗台</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无杂物、手印、污渍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地面清洗</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无杂物、积尘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垃圾桶的整理</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无杂物</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外墙、杀虫</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外墙玻璃、窗口、墙面、高处饰物</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年</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无积尘、水迹、污渍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布设药点、更换药剂</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年</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对人畜安全、无污染</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巡回检查虫害情况</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天</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有效灭杀、符合国家标准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室外公共场所</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道路、绿化带、果壳箱</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干净整洁</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垃圾房</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不得超过容积的</w:t>
            </w:r>
            <w:r>
              <w:rPr>
                <w:rFonts w:hint="default" w:ascii="宋体" w:hAnsi="宋体" w:eastAsia="宋体"/>
                <w:color w:val="auto"/>
                <w:position w:val="0"/>
                <w:sz w:val="20"/>
                <w:szCs w:val="20"/>
              </w:rPr>
              <w:t>2/3</w:t>
            </w:r>
            <w:r>
              <w:rPr>
                <w:rFonts w:hint="default" w:ascii="宋体" w:hAnsi="Times New Roman" w:eastAsia="Times New Roman"/>
                <w:color w:val="auto"/>
                <w:position w:val="0"/>
                <w:sz w:val="20"/>
                <w:szCs w:val="20"/>
              </w:rPr>
              <w:t>，</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给类宣传栏橱窗及指示牌、灯柱</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周</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明沟</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无垃圾、杂物、无苔藓</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外露管道（二米以下）</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标志牌</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米以下外墙</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监控探头</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季</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外露管道（二米以下）</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标志牌</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日</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2</w:t>
            </w:r>
            <w:r>
              <w:rPr>
                <w:rFonts w:hint="default" w:ascii="宋体" w:hAnsi="Times New Roman" w:eastAsia="Times New Roman"/>
                <w:color w:val="auto"/>
                <w:position w:val="0"/>
                <w:sz w:val="20"/>
                <w:szCs w:val="20"/>
              </w:rPr>
              <w:t>米以下外墙</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月</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无积灰、污渍</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监控探头</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次</w:t>
            </w:r>
            <w:r>
              <w:rPr>
                <w:rFonts w:hint="default" w:ascii="宋体" w:hAnsi="宋体" w:eastAsia="宋体"/>
                <w:color w:val="auto"/>
                <w:position w:val="0"/>
                <w:sz w:val="20"/>
                <w:szCs w:val="20"/>
              </w:rPr>
              <w:t>/</w:t>
            </w:r>
            <w:r>
              <w:rPr>
                <w:rFonts w:hint="default" w:ascii="宋体" w:hAnsi="Times New Roman" w:eastAsia="Times New Roman"/>
                <w:color w:val="auto"/>
                <w:position w:val="0"/>
                <w:sz w:val="20"/>
                <w:szCs w:val="20"/>
              </w:rPr>
              <w:t>季</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无灰尘</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1</w:t>
            </w:r>
            <w:r>
              <w:rPr>
                <w:rFonts w:hint="default" w:ascii="宋体" w:hAnsi="Times New Roman" w:eastAsia="Times New Roman"/>
                <w:color w:val="auto"/>
                <w:position w:val="0"/>
                <w:sz w:val="20"/>
                <w:szCs w:val="20"/>
              </w:rPr>
              <w:t>分</w:t>
            </w: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shd w:val="clear" w:color="000000" w:fill="FFFF00"/>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厨房及餐厅</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作业项目</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频次</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作业标准</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考核标准</w:t>
            </w:r>
          </w:p>
        </w:tc>
      </w:tr>
      <w:tr>
        <w:tblPrEx>
          <w:tblLayout w:type="fixed"/>
          <w:tblCellMar>
            <w:top w:w="0" w:type="dxa"/>
            <w:left w:w="108" w:type="dxa"/>
            <w:bottom w:w="0" w:type="dxa"/>
            <w:right w:w="108" w:type="dxa"/>
          </w:tblCellMar>
        </w:tblPrEx>
        <w:trPr>
          <w:trHeight w:val="240" w:hRule="atLeast"/>
        </w:trPr>
        <w:tc>
          <w:tcPr>
            <w:tcW w:w="2761" w:type="dxa"/>
            <w:gridSpan w:val="2"/>
            <w:tcBorders>
              <w:top w:val="nil"/>
              <w:left w:val="single" w:color="auto" w:sz="4" w:space="0"/>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厨房及餐厅公共走廊及楼道</w:t>
            </w:r>
          </w:p>
        </w:tc>
        <w:tc>
          <w:tcPr>
            <w:tcW w:w="1688" w:type="dxa"/>
            <w:gridSpan w:val="2"/>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　</w:t>
            </w:r>
          </w:p>
        </w:tc>
        <w:tc>
          <w:tcPr>
            <w:tcW w:w="2744"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按公共走廊及楼道要求执行</w:t>
            </w:r>
          </w:p>
        </w:tc>
        <w:tc>
          <w:tcPr>
            <w:tcW w:w="2322" w:type="dxa"/>
            <w:tcBorders>
              <w:top w:val="nil"/>
              <w:left w:val="nil"/>
              <w:bottom w:val="single" w:color="auto" w:sz="4" w:space="0"/>
              <w:right w:val="single" w:color="auto" w:sz="4" w:space="0"/>
            </w:tcBorders>
            <w:vAlign w:val="top"/>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240" w:hRule="atLeast"/>
        </w:trPr>
        <w:tc>
          <w:tcPr>
            <w:tcW w:w="9515" w:type="dxa"/>
            <w:gridSpan w:val="6"/>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highlight w:val="yellow"/>
              </w:rPr>
              <w:t>垃圾清运</w:t>
            </w:r>
          </w:p>
        </w:tc>
      </w:tr>
      <w:tr>
        <w:tblPrEx>
          <w:tblLayout w:type="fixed"/>
          <w:tblCellMar>
            <w:top w:w="0" w:type="dxa"/>
            <w:left w:w="108" w:type="dxa"/>
            <w:bottom w:w="0" w:type="dxa"/>
            <w:right w:w="108" w:type="dxa"/>
          </w:tblCellMar>
        </w:tblPrEx>
        <w:trPr>
          <w:trHeight w:val="420" w:hRule="atLeast"/>
        </w:trPr>
        <w:tc>
          <w:tcPr>
            <w:tcW w:w="2761" w:type="dxa"/>
            <w:gridSpan w:val="2"/>
            <w:tcBorders>
              <w:top w:val="nil"/>
              <w:left w:val="single" w:color="auto" w:sz="4" w:space="0"/>
              <w:bottom w:val="single" w:color="auto" w:sz="4" w:space="0"/>
              <w:right w:val="single" w:color="auto" w:sz="4" w:space="0"/>
            </w:tcBorders>
            <w:shd w:val="clear" w:color="000000" w:fill="FFFFFF"/>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所有的垃圾清运工作（包括厨房垃圾等所有垃圾）</w:t>
            </w:r>
          </w:p>
        </w:tc>
        <w:tc>
          <w:tcPr>
            <w:tcW w:w="1688" w:type="dxa"/>
            <w:gridSpan w:val="2"/>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及时处理</w:t>
            </w:r>
          </w:p>
        </w:tc>
        <w:tc>
          <w:tcPr>
            <w:tcW w:w="2744"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整洁、无污物</w:t>
            </w:r>
          </w:p>
        </w:tc>
        <w:tc>
          <w:tcPr>
            <w:tcW w:w="2322" w:type="dxa"/>
            <w:tcBorders>
              <w:top w:val="nil"/>
              <w:left w:val="nil"/>
              <w:bottom w:val="single" w:color="auto" w:sz="4" w:space="0"/>
              <w:right w:val="single" w:color="auto" w:sz="4" w:space="0"/>
            </w:tcBorders>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0"/>
                <w:szCs w:val="20"/>
              </w:rPr>
            </w:pPr>
            <w:r>
              <w:rPr>
                <w:rFonts w:hint="default" w:ascii="宋体" w:hAnsi="Times New Roman" w:eastAsia="Times New Roman"/>
                <w:color w:val="auto"/>
                <w:position w:val="0"/>
                <w:sz w:val="20"/>
                <w:szCs w:val="20"/>
              </w:rPr>
              <w:t>如不符合扣</w:t>
            </w:r>
            <w:r>
              <w:rPr>
                <w:rFonts w:hint="default" w:ascii="宋体" w:hAnsi="宋体" w:eastAsia="宋体"/>
                <w:color w:val="auto"/>
                <w:position w:val="0"/>
                <w:sz w:val="20"/>
                <w:szCs w:val="20"/>
              </w:rPr>
              <w:t>3</w:t>
            </w:r>
            <w:r>
              <w:rPr>
                <w:rFonts w:hint="default" w:ascii="宋体" w:hAnsi="Times New Roman" w:eastAsia="Times New Roman"/>
                <w:color w:val="auto"/>
                <w:position w:val="0"/>
                <w:sz w:val="20"/>
                <w:szCs w:val="20"/>
              </w:rPr>
              <w:t>分</w:t>
            </w:r>
          </w:p>
        </w:tc>
      </w:tr>
    </w:tbl>
    <w:p>
      <w:pPr>
        <w:numPr>
          <w:ilvl w:val="0"/>
          <w:numId w:val="0"/>
        </w:numPr>
        <w:autoSpaceDE/>
        <w:autoSpaceDN/>
        <w:spacing w:before="0" w:after="160" w:line="360" w:lineRule="auto"/>
        <w:ind w:right="0" w:firstLine="0"/>
        <w:jc w:val="both"/>
        <w:rPr>
          <w:rFonts w:hint="default" w:ascii="宋体" w:hAnsi="Times New Roman" w:eastAsia="Times New Roman"/>
          <w:b/>
          <w:color w:val="auto"/>
          <w:position w:val="0"/>
          <w:sz w:val="21"/>
          <w:szCs w:val="21"/>
        </w:rPr>
      </w:pPr>
      <w:r>
        <w:rPr>
          <w:rFonts w:hint="default" w:ascii="宋体" w:hAnsi="宋体" w:eastAsia="宋体"/>
          <w:b/>
          <w:color w:val="auto"/>
          <w:position w:val="0"/>
          <w:sz w:val="21"/>
          <w:szCs w:val="21"/>
        </w:rPr>
        <w:t>8</w:t>
      </w:r>
      <w:r>
        <w:rPr>
          <w:rFonts w:hint="default" w:ascii="宋体" w:hAnsi="Times New Roman" w:eastAsia="Times New Roman"/>
          <w:b/>
          <w:color w:val="auto"/>
          <w:position w:val="0"/>
          <w:sz w:val="21"/>
          <w:szCs w:val="21"/>
        </w:rPr>
        <w:t>）物业服务中标方需定期总结和汇报当期工作情况，招标方将组织员工每季对物业工作进行满意度评价，满意度均高于</w:t>
      </w:r>
      <w:r>
        <w:rPr>
          <w:rFonts w:hint="default" w:ascii="宋体" w:hAnsi="宋体" w:eastAsia="宋体"/>
          <w:b/>
          <w:color w:val="auto"/>
          <w:position w:val="0"/>
          <w:sz w:val="21"/>
          <w:szCs w:val="21"/>
        </w:rPr>
        <w:t>85%</w:t>
      </w:r>
      <w:r>
        <w:rPr>
          <w:rFonts w:hint="default" w:ascii="宋体" w:hAnsi="Times New Roman" w:eastAsia="Times New Roman"/>
          <w:b/>
          <w:color w:val="auto"/>
          <w:position w:val="0"/>
          <w:sz w:val="21"/>
          <w:szCs w:val="21"/>
        </w:rPr>
        <w:t>的，将续签合同</w:t>
      </w:r>
      <w:r>
        <w:rPr>
          <w:rFonts w:hint="default" w:ascii="宋体" w:hAnsi="宋体" w:eastAsia="宋体"/>
          <w:b/>
          <w:color w:val="auto"/>
          <w:position w:val="0"/>
          <w:sz w:val="21"/>
          <w:szCs w:val="21"/>
        </w:rPr>
        <w:t>12</w:t>
      </w:r>
      <w:r>
        <w:rPr>
          <w:rFonts w:hint="default" w:ascii="宋体" w:hAnsi="Times New Roman" w:eastAsia="Times New Roman"/>
          <w:b/>
          <w:color w:val="auto"/>
          <w:position w:val="0"/>
          <w:sz w:val="21"/>
          <w:szCs w:val="21"/>
        </w:rPr>
        <w:t>个月。</w:t>
      </w:r>
    </w:p>
    <w:p>
      <w:pPr>
        <w:numPr>
          <w:ilvl w:val="0"/>
          <w:numId w:val="0"/>
        </w:numPr>
        <w:autoSpaceDE/>
        <w:autoSpaceDN/>
        <w:spacing w:before="0" w:after="160" w:line="360" w:lineRule="auto"/>
        <w:ind w:right="0" w:firstLine="0"/>
        <w:jc w:val="both"/>
        <w:rPr>
          <w:rFonts w:hint="default" w:ascii="Times New Roman" w:hAnsi="Times New Roman" w:eastAsia="Times New Roman"/>
          <w:b/>
          <w:color w:val="auto"/>
          <w:position w:val="0"/>
          <w:sz w:val="21"/>
          <w:szCs w:val="21"/>
        </w:rPr>
      </w:pPr>
      <w:bookmarkStart w:id="3" w:name="_Toc329850781"/>
      <w:r>
        <w:rPr>
          <w:rFonts w:hint="default" w:ascii="Times New Roman" w:hAnsi="Times New Roman" w:eastAsia="Times New Roman"/>
          <w:b/>
          <w:color w:val="auto"/>
          <w:position w:val="0"/>
          <w:sz w:val="21"/>
          <w:szCs w:val="21"/>
        </w:rPr>
        <w:t>2.7 违约责任</w:t>
      </w:r>
      <w:bookmarkEnd w:id="3"/>
    </w:p>
    <w:p>
      <w:pPr>
        <w:numPr>
          <w:ilvl w:val="0"/>
          <w:numId w:val="1"/>
        </w:numPr>
        <w:autoSpaceDE/>
        <w:autoSpaceDN/>
        <w:spacing w:before="0" w:after="160" w:line="360" w:lineRule="auto"/>
        <w:ind w:left="900" w:right="0" w:hanging="42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中标方延迟履行或不适当履行合同义务的，每逾期一日或发生一次，应向招标方支付年度物业服务费用千分之一至之三的违约金。</w:t>
      </w:r>
    </w:p>
    <w:p>
      <w:pPr>
        <w:numPr>
          <w:ilvl w:val="0"/>
          <w:numId w:val="1"/>
        </w:numPr>
        <w:autoSpaceDE/>
        <w:autoSpaceDN/>
        <w:spacing w:before="0" w:after="160" w:line="360" w:lineRule="auto"/>
        <w:ind w:left="900" w:right="0" w:hanging="42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中标方不履行或不适当履行合同义务，给招标方造成损失的，应赔偿招标方的全部损失和相关费用，并支付年度物业服务费用</w:t>
      </w:r>
      <w:r>
        <w:rPr>
          <w:rFonts w:hint="default" w:ascii="宋体" w:hAnsi="宋体" w:eastAsia="宋体"/>
          <w:color w:val="auto"/>
          <w:position w:val="0"/>
          <w:sz w:val="21"/>
          <w:szCs w:val="21"/>
        </w:rPr>
        <w:t>10%</w:t>
      </w:r>
      <w:r>
        <w:rPr>
          <w:rFonts w:hint="default" w:ascii="宋体" w:hAnsi="Times New Roman" w:eastAsia="Times New Roman"/>
          <w:color w:val="auto"/>
          <w:position w:val="0"/>
          <w:sz w:val="21"/>
          <w:szCs w:val="21"/>
        </w:rPr>
        <w:t>的违约金。</w:t>
      </w:r>
    </w:p>
    <w:p>
      <w:pPr>
        <w:numPr>
          <w:ilvl w:val="0"/>
          <w:numId w:val="1"/>
        </w:numPr>
        <w:autoSpaceDE/>
        <w:autoSpaceDN/>
        <w:spacing w:before="0" w:after="160" w:line="360" w:lineRule="auto"/>
        <w:ind w:left="900" w:right="0" w:hanging="42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中标方违反合同约定，给招标方造成重大损失，或造成合同无法继续履行，或延迟履行合同义务超过</w:t>
      </w:r>
      <w:r>
        <w:rPr>
          <w:rFonts w:hint="default" w:ascii="宋体" w:hAnsi="宋体" w:eastAsia="宋体"/>
          <w:color w:val="auto"/>
          <w:position w:val="0"/>
          <w:sz w:val="21"/>
          <w:szCs w:val="21"/>
        </w:rPr>
        <w:t>30</w:t>
      </w:r>
      <w:r>
        <w:rPr>
          <w:rFonts w:hint="default" w:ascii="宋体" w:hAnsi="Times New Roman" w:eastAsia="Times New Roman"/>
          <w:color w:val="auto"/>
          <w:position w:val="0"/>
          <w:sz w:val="21"/>
          <w:szCs w:val="21"/>
        </w:rPr>
        <w:t>日，招标方有权以提出书面警告直至解除合同，中标方支付当月年度服务费用</w:t>
      </w:r>
      <w:r>
        <w:rPr>
          <w:rFonts w:hint="default" w:ascii="宋体" w:hAnsi="宋体" w:eastAsia="宋体"/>
          <w:color w:val="auto"/>
          <w:position w:val="0"/>
          <w:sz w:val="21"/>
          <w:szCs w:val="21"/>
        </w:rPr>
        <w:t>50%</w:t>
      </w:r>
      <w:r>
        <w:rPr>
          <w:rFonts w:hint="default" w:ascii="宋体" w:hAnsi="Times New Roman" w:eastAsia="Times New Roman"/>
          <w:color w:val="auto"/>
          <w:position w:val="0"/>
          <w:sz w:val="21"/>
          <w:szCs w:val="21"/>
        </w:rPr>
        <w:t>的违约金给招标方，并赔偿给招标方造成的全部损失和相关费用。</w:t>
      </w:r>
    </w:p>
    <w:p>
      <w:pPr>
        <w:numPr>
          <w:ilvl w:val="0"/>
          <w:numId w:val="1"/>
        </w:numPr>
        <w:autoSpaceDE/>
        <w:autoSpaceDN/>
        <w:spacing w:before="0" w:after="160" w:line="360" w:lineRule="auto"/>
        <w:ind w:left="900" w:right="0" w:hanging="42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招标方如有因卫生问题被相关单位、部门曝光或批评，每发生一次，中标方应支付年度服务费用</w:t>
      </w:r>
      <w:r>
        <w:rPr>
          <w:rFonts w:hint="default" w:ascii="宋体" w:hAnsi="宋体" w:eastAsia="宋体"/>
          <w:color w:val="auto"/>
          <w:position w:val="0"/>
          <w:sz w:val="21"/>
          <w:szCs w:val="21"/>
        </w:rPr>
        <w:t>5%</w:t>
      </w:r>
      <w:r>
        <w:rPr>
          <w:rFonts w:hint="default" w:ascii="宋体" w:hAnsi="Times New Roman" w:eastAsia="Times New Roman"/>
          <w:color w:val="auto"/>
          <w:position w:val="0"/>
          <w:sz w:val="21"/>
          <w:szCs w:val="21"/>
        </w:rPr>
        <w:t>的违约金，如情节严重，招标方有权以书面形式提出警告，直至解除本合同。</w:t>
      </w:r>
    </w:p>
    <w:p>
      <w:pPr>
        <w:numPr>
          <w:ilvl w:val="0"/>
          <w:numId w:val="1"/>
        </w:numPr>
        <w:autoSpaceDE/>
        <w:autoSpaceDN/>
        <w:spacing w:before="0" w:after="160" w:line="360" w:lineRule="auto"/>
        <w:ind w:left="900" w:right="0" w:hanging="42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中标方保洁、安保人员因工作散漫或离（脱）岗，造成损失或不良后果的，每发生一次，中标方应支付年度服务费用千分之一至三的违约金。</w:t>
      </w:r>
    </w:p>
    <w:p>
      <w:pPr>
        <w:numPr>
          <w:ilvl w:val="0"/>
          <w:numId w:val="0"/>
        </w:numPr>
        <w:autoSpaceDE/>
        <w:autoSpaceDN/>
        <w:spacing w:before="0" w:after="160" w:line="360" w:lineRule="auto"/>
        <w:ind w:right="0" w:firstLine="0"/>
        <w:jc w:val="both"/>
        <w:rPr>
          <w:rFonts w:hint="default" w:ascii="Times New Roman" w:hAnsi="Times New Roman" w:eastAsia="Times New Roman"/>
          <w:color w:val="auto"/>
          <w:position w:val="0"/>
          <w:sz w:val="21"/>
          <w:szCs w:val="21"/>
        </w:rPr>
      </w:pPr>
      <w:r>
        <w:rPr>
          <w:rFonts w:hint="default" w:ascii="宋体" w:hAnsi="Times New Roman" w:eastAsia="Times New Roman"/>
          <w:color w:val="auto"/>
          <w:position w:val="0"/>
          <w:sz w:val="21"/>
          <w:szCs w:val="21"/>
        </w:rPr>
        <w:t>对中标方物业工作人员（保安、保洁、维修）由于没有按照工作流程、规范作业、要求，遭到招标方相关部门投诉或被检查出存在问题的，第一次提出警告、第二次提出书面整改书并扣</w:t>
      </w:r>
      <w:r>
        <w:rPr>
          <w:rFonts w:hint="default" w:ascii="宋体" w:hAnsi="宋体" w:eastAsia="宋体"/>
          <w:color w:val="auto"/>
          <w:position w:val="0"/>
          <w:sz w:val="21"/>
          <w:szCs w:val="21"/>
        </w:rPr>
        <w:t>500</w:t>
      </w:r>
      <w:r>
        <w:rPr>
          <w:rFonts w:hint="default" w:ascii="宋体" w:hAnsi="Times New Roman" w:eastAsia="Times New Roman"/>
          <w:color w:val="auto"/>
          <w:position w:val="0"/>
          <w:sz w:val="21"/>
          <w:szCs w:val="21"/>
        </w:rPr>
        <w:t>元，在每月结算中扣除。</w:t>
      </w:r>
    </w:p>
    <w:p>
      <w:pPr>
        <w:numPr>
          <w:ilvl w:val="0"/>
          <w:numId w:val="0"/>
        </w:numPr>
        <w:autoSpaceDE/>
        <w:autoSpaceDN/>
        <w:spacing w:before="0" w:after="160" w:line="360" w:lineRule="auto"/>
        <w:ind w:right="0" w:firstLine="0"/>
        <w:jc w:val="both"/>
        <w:rPr>
          <w:rFonts w:hint="default" w:ascii="Times New Roman" w:hAnsi="Times New Roman" w:eastAsia="Times New Roman"/>
          <w:b/>
          <w:color w:val="auto"/>
          <w:position w:val="0"/>
          <w:sz w:val="21"/>
          <w:szCs w:val="21"/>
        </w:rPr>
      </w:pPr>
      <w:r>
        <w:rPr>
          <w:rFonts w:hint="default" w:ascii="Times New Roman" w:hAnsi="Times New Roman" w:eastAsia="Times New Roman"/>
          <w:b/>
          <w:color w:val="auto"/>
          <w:position w:val="0"/>
          <w:sz w:val="21"/>
          <w:szCs w:val="21"/>
        </w:rPr>
        <w:t>2.3.7后勤人员预算配置表</w:t>
      </w:r>
    </w:p>
    <w:tbl>
      <w:tblPr>
        <w:tblStyle w:val="5"/>
        <w:tblW w:w="7479" w:type="dxa"/>
        <w:jc w:val="center"/>
        <w:tblInd w:w="0" w:type="dxa"/>
        <w:tblLayout w:type="fixed"/>
        <w:tblCellMar>
          <w:top w:w="0" w:type="dxa"/>
          <w:left w:w="10" w:type="dxa"/>
          <w:bottom w:w="0" w:type="dxa"/>
          <w:right w:w="10" w:type="dxa"/>
        </w:tblCellMar>
      </w:tblPr>
      <w:tblGrid>
        <w:gridCol w:w="2130"/>
        <w:gridCol w:w="2130"/>
        <w:gridCol w:w="3219"/>
      </w:tblGrid>
      <w:tr>
        <w:tblPrEx>
          <w:tblLayout w:type="fixed"/>
          <w:tblCellMar>
            <w:top w:w="0" w:type="dxa"/>
            <w:left w:w="10" w:type="dxa"/>
            <w:bottom w:w="0" w:type="dxa"/>
            <w:right w:w="10" w:type="dxa"/>
          </w:tblCellMar>
        </w:tblPrEx>
        <w:trPr>
          <w:trHeight w:val="567"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岗位</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人数</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备注</w:t>
            </w:r>
          </w:p>
        </w:tc>
      </w:tr>
      <w:tr>
        <w:tblPrEx>
          <w:tblLayout w:type="fixed"/>
          <w:tblCellMar>
            <w:top w:w="0" w:type="dxa"/>
            <w:left w:w="10" w:type="dxa"/>
            <w:bottom w:w="0" w:type="dxa"/>
            <w:right w:w="10" w:type="dxa"/>
          </w:tblCellMar>
        </w:tblPrEx>
        <w:trPr>
          <w:trHeight w:val="567"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物业经理</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1</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p>
        </w:tc>
      </w:tr>
      <w:tr>
        <w:tblPrEx>
          <w:tblLayout w:type="fixed"/>
          <w:tblCellMar>
            <w:top w:w="0" w:type="dxa"/>
            <w:left w:w="10" w:type="dxa"/>
            <w:bottom w:w="0" w:type="dxa"/>
            <w:right w:w="10" w:type="dxa"/>
          </w:tblCellMar>
        </w:tblPrEx>
        <w:trPr>
          <w:trHeight w:val="567"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eastAsia" w:ascii="Times New Roman" w:hAnsi="Times New Roman" w:eastAsia="宋体"/>
                <w:color w:val="auto"/>
                <w:position w:val="0"/>
                <w:sz w:val="21"/>
                <w:szCs w:val="21"/>
                <w:lang w:eastAsia="zh-CN"/>
              </w:rPr>
            </w:pPr>
            <w:r>
              <w:rPr>
                <w:rFonts w:hint="eastAsia" w:eastAsia="宋体"/>
                <w:color w:val="auto"/>
                <w:position w:val="0"/>
                <w:sz w:val="21"/>
                <w:szCs w:val="21"/>
                <w:lang w:eastAsia="zh-CN"/>
              </w:rPr>
              <w:t>综合主管</w:t>
            </w:r>
            <w:bookmarkStart w:id="4" w:name="_GoBack"/>
            <w:bookmarkEnd w:id="4"/>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1</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p>
        </w:tc>
      </w:tr>
      <w:tr>
        <w:tblPrEx>
          <w:tblLayout w:type="fixed"/>
          <w:tblCellMar>
            <w:top w:w="0" w:type="dxa"/>
            <w:left w:w="10" w:type="dxa"/>
            <w:bottom w:w="0" w:type="dxa"/>
            <w:right w:w="10" w:type="dxa"/>
          </w:tblCellMar>
        </w:tblPrEx>
        <w:trPr>
          <w:trHeight w:val="861"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综合维修工</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2</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配电房维修人员需要低压、高压电工操作上岗证</w:t>
            </w:r>
          </w:p>
        </w:tc>
      </w:tr>
      <w:tr>
        <w:tblPrEx>
          <w:tblLayout w:type="fixed"/>
          <w:tblCellMar>
            <w:top w:w="0" w:type="dxa"/>
            <w:left w:w="10" w:type="dxa"/>
            <w:bottom w:w="0" w:type="dxa"/>
            <w:right w:w="10" w:type="dxa"/>
          </w:tblCellMar>
        </w:tblPrEx>
        <w:trPr>
          <w:trHeight w:val="1714"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保安</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eastAsia" w:ascii="Times New Roman" w:hAnsi="Times New Roman" w:eastAsia="宋体"/>
                <w:color w:val="auto"/>
                <w:position w:val="0"/>
                <w:sz w:val="21"/>
                <w:szCs w:val="21"/>
                <w:lang w:eastAsia="zh-CN"/>
              </w:rPr>
            </w:pPr>
            <w:r>
              <w:rPr>
                <w:rFonts w:hint="eastAsia" w:eastAsia="宋体"/>
                <w:color w:val="auto"/>
                <w:position w:val="0"/>
                <w:sz w:val="21"/>
                <w:szCs w:val="21"/>
                <w:lang w:val="en-US" w:eastAsia="zh-CN"/>
              </w:rPr>
              <w:t>8</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含班长、巡逻、监（消）控、门岗秩序维护（负责停车收费）</w:t>
            </w:r>
          </w:p>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p>
        </w:tc>
      </w:tr>
      <w:tr>
        <w:tblPrEx>
          <w:tblLayout w:type="fixed"/>
          <w:tblCellMar>
            <w:top w:w="0" w:type="dxa"/>
            <w:left w:w="10" w:type="dxa"/>
            <w:bottom w:w="0" w:type="dxa"/>
            <w:right w:w="10" w:type="dxa"/>
          </w:tblCellMar>
        </w:tblPrEx>
        <w:trPr>
          <w:trHeight w:val="567"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保洁及绿化</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eastAsia" w:ascii="Times New Roman" w:hAnsi="Times New Roman" w:eastAsia="宋体"/>
                <w:color w:val="auto"/>
                <w:position w:val="0"/>
                <w:sz w:val="21"/>
                <w:szCs w:val="21"/>
                <w:lang w:val="en-US" w:eastAsia="zh-CN"/>
              </w:rPr>
            </w:pPr>
            <w:r>
              <w:rPr>
                <w:rFonts w:hint="eastAsia" w:eastAsia="宋体"/>
                <w:color w:val="auto"/>
                <w:position w:val="0"/>
                <w:sz w:val="21"/>
                <w:szCs w:val="21"/>
                <w:lang w:val="en-US" w:eastAsia="zh-CN"/>
              </w:rPr>
              <w:t>4</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其中1人兼职领班</w:t>
            </w:r>
          </w:p>
        </w:tc>
      </w:tr>
      <w:tr>
        <w:tblPrEx>
          <w:tblLayout w:type="fixed"/>
          <w:tblCellMar>
            <w:top w:w="0" w:type="dxa"/>
            <w:left w:w="10" w:type="dxa"/>
            <w:bottom w:w="0" w:type="dxa"/>
            <w:right w:w="10" w:type="dxa"/>
          </w:tblCellMar>
        </w:tblPrEx>
        <w:trPr>
          <w:trHeight w:val="567" w:hRule="exact"/>
          <w:jc w:val="center"/>
        </w:trPr>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合计</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16</w:t>
            </w:r>
          </w:p>
        </w:tc>
        <w:tc>
          <w:tcPr>
            <w:tcW w:w="32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0"/>
              </w:numPr>
              <w:autoSpaceDE/>
              <w:autoSpaceDN/>
              <w:spacing w:before="0" w:after="160" w:line="360" w:lineRule="auto"/>
              <w:ind w:right="0" w:firstLine="0"/>
              <w:jc w:val="center"/>
              <w:rPr>
                <w:rFonts w:hint="default" w:ascii="Times New Roman" w:hAnsi="Times New Roman" w:eastAsia="Times New Roman"/>
                <w:color w:val="auto"/>
                <w:positio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F0502020204030204"/>
    <w:charset w:val="00"/>
    <w:family w:val="auto"/>
    <w:pitch w:val="default"/>
    <w:sig w:usb0="00000000" w:usb1="00000000" w:usb2="00000000" w:usb3="00000000" w:csb0="FFFFFFFF" w:csb1="00000000"/>
  </w:font>
  <w:font w:name="楷体_GB2312">
    <w:altName w:val="楷体"/>
    <w:panose1 w:val="020F0502020204030204"/>
    <w:charset w:val="00"/>
    <w:family w:val="auto"/>
    <w:pitch w:val="default"/>
    <w:sig w:usb0="00000000" w:usb1="00000000" w:usb2="00000000" w:usb3="00000000" w:csb0="FFFFFFFF" w:csb1="00000000"/>
  </w:font>
  <w:font w:name="Courier New">
    <w:panose1 w:val="02070309020205020404"/>
    <w:charset w:val="00"/>
    <w:family w:val="auto"/>
    <w:pitch w:val="default"/>
    <w:sig w:usb0="E0002AFF" w:usb1="C0007843" w:usb2="00000009" w:usb3="00000000" w:csb0="400001FF" w:csb1="FFFF0000"/>
  </w:font>
  <w:font w:name="Arial Unicode MS">
    <w:altName w:val="Arial"/>
    <w:panose1 w:val="020F0502020204030204"/>
    <w:charset w:val="00"/>
    <w:family w:val="auto"/>
    <w:pitch w:val="default"/>
    <w:sig w:usb0="00000000" w:usb1="00000000" w:usb2="00000000" w:usb3="00000000" w:csb0="FFFFFFF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calaSansLF-Regular">
    <w:altName w:val="微软雅黑"/>
    <w:panose1 w:val="020F0502020204030204"/>
    <w:charset w:val="00"/>
    <w:family w:val="auto"/>
    <w:pitch w:val="default"/>
    <w:sig w:usb0="00000000" w:usb1="00000000" w:usb2="00000000" w:usb3="00000000" w:csb0="FFFFFFFF" w:csb1="00000000"/>
  </w:font>
  <w:font w:name="??">
    <w:altName w:val="微软雅黑"/>
    <w:panose1 w:val="020F0502020204030204"/>
    <w:charset w:val="00"/>
    <w:family w:val="auto"/>
    <w:pitch w:val="default"/>
    <w:sig w:usb0="00000000" w:usb1="00000000" w:usb2="00000000" w:usb3="00000000" w:csb0="FFFFFFFF"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00"/>
        </w:tabs>
        <w:ind w:left="900" w:hanging="420"/>
        <w:jc w:val="both"/>
      </w:pPr>
      <w:rPr>
        <w:w w:val="100"/>
        <w:sz w:val="20"/>
        <w:szCs w:val="20"/>
        <w:shd w:val="clear" w:color="000000"/>
      </w:rPr>
    </w:lvl>
    <w:lvl w:ilvl="1" w:tentative="0">
      <w:start w:val="1"/>
      <w:numFmt w:val="decimal"/>
      <w:lvlText w:val="（%2）"/>
      <w:lvlJc w:val="left"/>
      <w:pPr>
        <w:ind w:left="1620" w:hanging="720"/>
        <w:jc w:val="both"/>
      </w:pPr>
      <w:rPr>
        <w:w w:val="100"/>
        <w:sz w:val="20"/>
        <w:szCs w:val="20"/>
        <w:shd w:val="clear" w:color="000000"/>
      </w:rPr>
    </w:lvl>
    <w:lvl w:ilvl="2" w:tentative="0">
      <w:start w:val="2"/>
      <w:numFmt w:val="decimal"/>
      <w:lvlText w:val="%3）"/>
      <w:lvlJc w:val="left"/>
      <w:pPr>
        <w:tabs>
          <w:tab w:val="left" w:pos="1680"/>
        </w:tabs>
        <w:ind w:left="1680" w:hanging="360"/>
        <w:jc w:val="both"/>
      </w:pPr>
      <w:rPr>
        <w:w w:val="100"/>
        <w:sz w:val="20"/>
        <w:szCs w:val="20"/>
        <w:shd w:val="clear" w:color="000000"/>
      </w:rPr>
    </w:lvl>
    <w:lvl w:ilvl="3" w:tentative="0">
      <w:start w:val="1"/>
      <w:numFmt w:val="bullet"/>
      <w:lvlText w:val="l"/>
      <w:lvlJc w:val="left"/>
      <w:pPr>
        <w:tabs>
          <w:tab w:val="left" w:pos="2160"/>
        </w:tabs>
        <w:ind w:left="2160" w:hanging="420"/>
        <w:jc w:val="both"/>
      </w:pPr>
      <w:rPr>
        <w:rFonts w:ascii="Wingdings" w:hAnsi="Wingdings" w:eastAsia="Wingdings"/>
        <w:w w:val="100"/>
        <w:sz w:val="20"/>
        <w:szCs w:val="20"/>
        <w:shd w:val="clear" w:color="000000"/>
      </w:rPr>
    </w:lvl>
    <w:lvl w:ilvl="4" w:tentative="0">
      <w:start w:val="1"/>
      <w:numFmt w:val="bullet"/>
      <w:lvlText w:val="n"/>
      <w:lvlJc w:val="left"/>
      <w:pPr>
        <w:tabs>
          <w:tab w:val="left" w:pos="2580"/>
        </w:tabs>
        <w:ind w:left="2580" w:hanging="420"/>
        <w:jc w:val="both"/>
      </w:pPr>
      <w:rPr>
        <w:rFonts w:ascii="Wingdings" w:hAnsi="Wingdings" w:eastAsia="Wingdings"/>
        <w:w w:val="100"/>
        <w:sz w:val="20"/>
        <w:szCs w:val="20"/>
        <w:shd w:val="clear" w:color="000000"/>
      </w:rPr>
    </w:lvl>
    <w:lvl w:ilvl="5" w:tentative="0">
      <w:start w:val="1"/>
      <w:numFmt w:val="bullet"/>
      <w:lvlText w:val="u"/>
      <w:lvlJc w:val="left"/>
      <w:pPr>
        <w:tabs>
          <w:tab w:val="left" w:pos="3000"/>
        </w:tabs>
        <w:ind w:left="3000" w:hanging="420"/>
        <w:jc w:val="both"/>
      </w:pPr>
      <w:rPr>
        <w:rFonts w:ascii="Wingdings" w:hAnsi="Wingdings" w:eastAsia="Wingdings"/>
        <w:w w:val="100"/>
        <w:sz w:val="20"/>
        <w:szCs w:val="20"/>
        <w:shd w:val="clear" w:color="000000"/>
      </w:rPr>
    </w:lvl>
    <w:lvl w:ilvl="6" w:tentative="0">
      <w:start w:val="1"/>
      <w:numFmt w:val="bullet"/>
      <w:lvlText w:val="l"/>
      <w:lvlJc w:val="left"/>
      <w:pPr>
        <w:tabs>
          <w:tab w:val="left" w:pos="3420"/>
        </w:tabs>
        <w:ind w:left="3420" w:hanging="420"/>
        <w:jc w:val="both"/>
      </w:pPr>
      <w:rPr>
        <w:rFonts w:ascii="Wingdings" w:hAnsi="Wingdings" w:eastAsia="Wingdings"/>
        <w:w w:val="100"/>
        <w:sz w:val="20"/>
        <w:szCs w:val="20"/>
        <w:shd w:val="clear" w:color="000000"/>
      </w:rPr>
    </w:lvl>
    <w:lvl w:ilvl="7" w:tentative="0">
      <w:start w:val="1"/>
      <w:numFmt w:val="bullet"/>
      <w:lvlText w:val="n"/>
      <w:lvlJc w:val="left"/>
      <w:pPr>
        <w:tabs>
          <w:tab w:val="left" w:pos="3840"/>
        </w:tabs>
        <w:ind w:left="3840" w:hanging="420"/>
        <w:jc w:val="both"/>
      </w:pPr>
      <w:rPr>
        <w:rFonts w:ascii="Wingdings" w:hAnsi="Wingdings" w:eastAsia="Wingdings"/>
        <w:w w:val="100"/>
        <w:sz w:val="20"/>
        <w:szCs w:val="20"/>
        <w:shd w:val="clear" w:color="000000"/>
      </w:rPr>
    </w:lvl>
    <w:lvl w:ilvl="8" w:tentative="0">
      <w:start w:val="1"/>
      <w:numFmt w:val="bullet"/>
      <w:lvlText w:val="u"/>
      <w:lvlJc w:val="left"/>
      <w:pPr>
        <w:tabs>
          <w:tab w:val="left" w:pos="4260"/>
        </w:tabs>
        <w:ind w:left="4260" w:hanging="420"/>
        <w:jc w:val="both"/>
      </w:pPr>
      <w:rPr>
        <w:rFonts w:ascii="Wingdings" w:hAnsi="Wingdings" w:eastAsia="Wingdings"/>
        <w:w w:val="100"/>
        <w:sz w:val="20"/>
        <w:szCs w:val="20"/>
        <w:shd w:val="clear" w:color="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D3C80"/>
    <w:rsid w:val="0D7D3C80"/>
    <w:rsid w:val="38A7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ind w:firstLine="200"/>
      <w:jc w:val="both"/>
    </w:pPr>
    <w:rPr>
      <w:rFonts w:ascii="Times New Roman" w:hAnsi="Times New Roman" w:eastAsia="Times New Roman"/>
      <w:w w:val="100"/>
      <w:sz w:val="20"/>
      <w:szCs w:val="20"/>
      <w:shd w:val="clear"/>
    </w:rPr>
  </w:style>
  <w:style w:type="paragraph" w:styleId="2">
    <w:name w:val="heading 3"/>
    <w:basedOn w:val="1"/>
    <w:next w:val="1"/>
    <w:unhideWhenUsed/>
    <w:qFormat/>
    <w:uiPriority w:val="0"/>
    <w:pPr>
      <w:keepNext/>
      <w:keepLines/>
      <w:widowControl/>
      <w:wordWrap/>
      <w:autoSpaceDE/>
      <w:autoSpaceDN/>
      <w:ind w:firstLine="0"/>
    </w:pPr>
    <w:rPr>
      <w:b/>
      <w:w w:val="100"/>
      <w:sz w:val="20"/>
      <w:szCs w:val="20"/>
      <w:shd w:val="cle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widowControl/>
      <w:wordWrap/>
      <w:autoSpaceDE/>
      <w:autoSpaceDN/>
      <w:ind w:firstLine="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浙江省残疾人联合会</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2018-04-08T06:16:00Z</dcterms:created>
  <dc:creator>李斌</dc:creator>
  <cp:lastModifiedBy>李斌</cp:lastModifiedBy>
  <dcterms:modified xsi:type="dcterms:W3CDTF">2018-04-08T06:41:57Z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