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C4" w:rsidRPr="00DE3E8C" w:rsidRDefault="006846C4" w:rsidP="006846C4">
      <w:pPr>
        <w:spacing w:before="240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DE3E8C">
        <w:rPr>
          <w:rFonts w:asciiTheme="minorEastAsia" w:hAnsiTheme="minorEastAsia" w:hint="eastAsia"/>
          <w:sz w:val="30"/>
          <w:szCs w:val="30"/>
        </w:rPr>
        <w:t>附件1：</w:t>
      </w:r>
    </w:p>
    <w:p w:rsidR="006846C4" w:rsidRPr="00346648" w:rsidRDefault="006846C4" w:rsidP="006846C4">
      <w:pPr>
        <w:spacing w:before="240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2015</w:t>
      </w:r>
      <w:r w:rsidRPr="00346648">
        <w:rPr>
          <w:rFonts w:asciiTheme="minorEastAsia" w:hAnsiTheme="minorEastAsia" w:hint="eastAsia"/>
          <w:b/>
          <w:sz w:val="30"/>
          <w:szCs w:val="30"/>
        </w:rPr>
        <w:t>—</w:t>
      </w:r>
      <w:r>
        <w:rPr>
          <w:rFonts w:asciiTheme="minorEastAsia" w:hAnsiTheme="minorEastAsia" w:hint="eastAsia"/>
          <w:b/>
          <w:sz w:val="30"/>
          <w:szCs w:val="30"/>
        </w:rPr>
        <w:t>2016</w:t>
      </w:r>
      <w:r w:rsidRPr="00346648">
        <w:rPr>
          <w:rFonts w:asciiTheme="minorEastAsia" w:hAnsiTheme="minorEastAsia" w:hint="eastAsia"/>
          <w:b/>
          <w:sz w:val="30"/>
          <w:szCs w:val="30"/>
        </w:rPr>
        <w:t>学年学院教学工作</w:t>
      </w:r>
      <w:r>
        <w:rPr>
          <w:rFonts w:asciiTheme="minorEastAsia" w:hAnsiTheme="minorEastAsia" w:hint="eastAsia"/>
          <w:b/>
          <w:sz w:val="30"/>
          <w:szCs w:val="30"/>
        </w:rPr>
        <w:t>及</w:t>
      </w:r>
      <w:r w:rsidRPr="00346648">
        <w:rPr>
          <w:rFonts w:asciiTheme="minorEastAsia" w:hAnsiTheme="minorEastAsia" w:hint="eastAsia"/>
          <w:b/>
          <w:sz w:val="30"/>
          <w:szCs w:val="30"/>
        </w:rPr>
        <w:t>业绩考核任务分解表</w:t>
      </w:r>
    </w:p>
    <w:tbl>
      <w:tblPr>
        <w:tblStyle w:val="a8"/>
        <w:tblW w:w="14466" w:type="dxa"/>
        <w:jc w:val="center"/>
        <w:tblLook w:val="04A0" w:firstRow="1" w:lastRow="0" w:firstColumn="1" w:lastColumn="0" w:noHBand="0" w:noVBand="1"/>
      </w:tblPr>
      <w:tblGrid>
        <w:gridCol w:w="823"/>
        <w:gridCol w:w="3542"/>
        <w:gridCol w:w="5337"/>
        <w:gridCol w:w="1262"/>
        <w:gridCol w:w="1008"/>
        <w:gridCol w:w="1336"/>
        <w:gridCol w:w="1158"/>
      </w:tblGrid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6C4" w:rsidRDefault="006846C4" w:rsidP="00503B3D">
            <w:pPr>
              <w:spacing w:before="24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考核指标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46C4" w:rsidRDefault="006846C4" w:rsidP="00503B3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46C4" w:rsidRDefault="006846C4" w:rsidP="00503B3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提供佐证材料（电子版或复印件）和注释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46C4" w:rsidRDefault="006846C4" w:rsidP="00503B3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责任部门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46C4" w:rsidRDefault="006846C4" w:rsidP="00503B3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46C4" w:rsidRDefault="006846C4" w:rsidP="00503B3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实施或者协同部门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46C4" w:rsidRDefault="006846C4" w:rsidP="00503B3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完成时间</w:t>
            </w:r>
          </w:p>
        </w:tc>
      </w:tr>
      <w:tr w:rsidR="006846C4" w:rsidTr="00503B3D">
        <w:trPr>
          <w:trHeight w:val="630"/>
          <w:jc w:val="center"/>
        </w:trPr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1.1.1</w:t>
            </w:r>
          </w:p>
        </w:tc>
        <w:tc>
          <w:tcPr>
            <w:tcW w:w="3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当年学校确保教学工作中心地位体制、机制的设计与执行情况，建立学校教学质量保障监控考核体系情况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(1)考试安排（提供考试安排相关制度及考试总结分析等支撑材料）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教务科研处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陈瑞英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12月9日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6846C4" w:rsidTr="00503B3D">
        <w:trPr>
          <w:trHeight w:val="630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(2)学风检查（相关制度按相关检查汇总分析等支撑材料）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学工部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邱淑女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学工部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1322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(3)督导听课（相关制度及相关检查汇总分析等支撑材料）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(4)督导毕业论文、考试抽查（相关制度及督导听课汇总分析等支撑材料）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督导办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刘  炜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300"/>
          <w:jc w:val="center"/>
        </w:trPr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1.1.2</w:t>
            </w:r>
          </w:p>
        </w:tc>
        <w:tc>
          <w:tcPr>
            <w:tcW w:w="3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有关教学的研讨、培训、指导、检查制度及执行情况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</w:t>
            </w:r>
            <w:r w:rsidRPr="00040AC0">
              <w:rPr>
                <w:rFonts w:asciiTheme="minorEastAsia" w:hAnsiTheme="minorEastAsia" w:hint="eastAsia"/>
                <w:szCs w:val="21"/>
              </w:rPr>
              <w:t>教研室主任会议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陈瑞英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系部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600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（2）</w:t>
            </w:r>
            <w:r w:rsidRPr="00040AC0">
              <w:rPr>
                <w:rFonts w:asciiTheme="minorEastAsia" w:hAnsiTheme="minorEastAsia" w:hint="eastAsia"/>
                <w:szCs w:val="21"/>
              </w:rPr>
              <w:t>各教研室会议(相关制度及会议内容，安排时间表等支撑材料)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系部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陆统、李桂枝、林海燕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各教研室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585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(3)新员工培训(相关制度按及新员工培训总结安排时间表等支撑材料)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骆中慧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725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(4)期中教学检查(相关制度及期中教学检查总结安排时间表等支撑材料)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各教研室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450"/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校院两级领导听课及教学奖励政策制度情况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(1)校院两级领导听课（相关制度及听课情况表）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督导</w:t>
            </w:r>
            <w:r>
              <w:rPr>
                <w:rFonts w:asciiTheme="minorEastAsia" w:hAnsiTheme="minorEastAsia" w:hint="eastAsia"/>
                <w:szCs w:val="21"/>
              </w:rPr>
              <w:t>办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刘  炜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督导</w:t>
            </w:r>
            <w:r>
              <w:rPr>
                <w:rFonts w:asciiTheme="minorEastAsia" w:hAnsiTheme="minorEastAsia" w:hint="eastAsia"/>
                <w:szCs w:val="21"/>
              </w:rPr>
              <w:t>办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150"/>
          <w:jc w:val="center"/>
        </w:trPr>
        <w:tc>
          <w:tcPr>
            <w:tcW w:w="1330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E548E9" w:rsidRDefault="006846C4" w:rsidP="00503B3D">
            <w:pPr>
              <w:spacing w:line="3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48E9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注：</w:t>
            </w:r>
            <w:r w:rsidRPr="00E548E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《浙江省高等职业院校教学工作及业绩考核定性材料申报表》</w:t>
            </w:r>
            <w:r w:rsidRPr="00E5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中“1.1制度建设”由教务处（科研发展处）主笔，人事处配合。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学校开展教师培训情况及相应的管理制度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6846C4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教师省培国培</w:t>
            </w:r>
          </w:p>
          <w:p w:rsidR="006846C4" w:rsidRDefault="006846C4" w:rsidP="006846C4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企业访工项目</w:t>
            </w:r>
          </w:p>
          <w:p w:rsidR="006846C4" w:rsidRPr="00CE61A9" w:rsidRDefault="006846C4" w:rsidP="006846C4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国外培训项目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骆中慧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培训专项经费落实情况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(1)教师省培国培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(2)企业访工项目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(3)国外培训项目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财务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杨晶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财务处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405"/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新近教师助讲制度落实情况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E806C5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(1)青年导师制(相关制度及青年导师总结安排时间表等支撑材料)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骆中慧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180"/>
          <w:jc w:val="center"/>
        </w:trPr>
        <w:tc>
          <w:tcPr>
            <w:tcW w:w="1330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E548E9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548E9">
              <w:rPr>
                <w:rFonts w:asciiTheme="minorEastAsia" w:hAnsiTheme="minorEastAsia" w:hint="eastAsia"/>
                <w:b/>
                <w:sz w:val="24"/>
                <w:szCs w:val="24"/>
              </w:rPr>
              <w:t>注：</w:t>
            </w:r>
            <w:r w:rsidRPr="00E548E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《浙江省高等职业院校教学工作及业绩考核定性材料申报表》</w:t>
            </w:r>
            <w:r w:rsidRPr="00E5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中“2.4教师培训”由人事处主笔，财务配合。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4.1.1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学校人才培养模式改革情况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(1)2016各专业人才培养方案修改情况。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陈瑞英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600"/>
          <w:jc w:val="center"/>
        </w:trPr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4.1.2</w:t>
            </w:r>
          </w:p>
        </w:tc>
        <w:tc>
          <w:tcPr>
            <w:tcW w:w="3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学校教学改革（专业建设、课程建设、实践教学等）情况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(1)专业建设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(2)课程建设（包括精品课程）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教务科研处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陈瑞英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教务科研处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285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(3)实践教学等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陆统、李桂枝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4.1.3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学生转专业落实情况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(1)学生转专业情况(相关制度文件及执行情况的支撑材料)</w:t>
            </w:r>
          </w:p>
        </w:tc>
        <w:tc>
          <w:tcPr>
            <w:tcW w:w="1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陈瑞英</w:t>
            </w:r>
          </w:p>
        </w:tc>
        <w:tc>
          <w:tcPr>
            <w:tcW w:w="1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4.2.1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学校办学定位，专业设置、人才培养与区域、行业需求的契合情况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(1)学校办学定位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(2)专业设置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(3)服务区域经济(相关制度文件、数据及执行情况的支撑材料)</w:t>
            </w:r>
          </w:p>
        </w:tc>
        <w:tc>
          <w:tcPr>
            <w:tcW w:w="1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4.2.2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特色专业建设情况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(1)儿童康复专业（学院特色专业）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(2)装饰艺术设计专业（学院特色专业）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 xml:space="preserve">（3）数字媒体艺术设计（学院特色专业） 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lastRenderedPageBreak/>
              <w:t>儿童康复专业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lastRenderedPageBreak/>
              <w:t>装饰艺术设计专业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数字媒体艺术设计专业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lastRenderedPageBreak/>
              <w:t>骆中慧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郑小忠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贺晨媛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lastRenderedPageBreak/>
              <w:t>儿童康复专业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lastRenderedPageBreak/>
              <w:t>装饰艺术设计专业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数字媒体艺术设计专业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750"/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4.2 3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学校专业服务产业发展能力情况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两个系负责收集各分院专业服务产业材料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陆统、李桂枝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5.1.1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学校与企业共同构建人才培养方案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</w:tc>
        <w:tc>
          <w:tcPr>
            <w:tcW w:w="1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陆统、李桂枝</w:t>
            </w:r>
          </w:p>
        </w:tc>
        <w:tc>
          <w:tcPr>
            <w:tcW w:w="1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285"/>
          <w:jc w:val="center"/>
        </w:trPr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5.1.2</w:t>
            </w:r>
          </w:p>
        </w:tc>
        <w:tc>
          <w:tcPr>
            <w:tcW w:w="3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合作企业接受学生顶岗实习、就业、选派企业技术人员到学校任兼职教师情况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(1)学生顶岗实习</w:t>
            </w:r>
          </w:p>
        </w:tc>
        <w:tc>
          <w:tcPr>
            <w:tcW w:w="1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285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(2)就业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招生就业处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邱淑女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学工部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480"/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5.1.3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校企合作成效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陆统、李桂枝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获得国家级省级教学教学项目、竞赛项目、命名和奖励情况（以当年内发文新为准）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省级大赛只填一等奖数目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（1）对同类同级别项目，按立项发文常年的年月时间顺序从由前到后排列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（2）各类各级别的项目表格不够可自行增加。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（3）提供各类项目发文的立项文件复印件（省级立项获奖项目除外）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（4）只统计教育部（高教司和职成教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司）和浙江省教育厅发文立项和公布的，且以我院为第一完成单位的的项目和成果。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（5）同一项目和奖励，采用就高原则，不重复加分。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提供相关电子稿（包括国家级省级教学教学项目、竞赛项目、命名和奖励）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相应发文文件复印件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(1)省级教学项目、竞赛项目、命名和奖励情况（以当年内发文新增为准）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(2)教学改革类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(3)学生学科竞赛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陈瑞英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870"/>
          <w:jc w:val="center"/>
        </w:trPr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3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在省内产生积极重大影响的教学工作成果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限1000字，并提供相关制度文件及执行情况的支撑材料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（1）省内青年教师教学比赛情况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（2）学生学科竞赛荣获情况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陈瑞英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教务处（科研发展处）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585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（3）顶岗实习走访管理情况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（4）专业服务地方经济显特色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陆统、李桂枝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康复系、艺术系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195"/>
          <w:jc w:val="center"/>
        </w:trPr>
        <w:tc>
          <w:tcPr>
            <w:tcW w:w="82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（5）学生体育竞赛荣获情况</w:t>
            </w:r>
          </w:p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（6）关爱生命踊跃献血情况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学工部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40AC0">
              <w:rPr>
                <w:rFonts w:asciiTheme="minorEastAsia" w:hAnsiTheme="minorEastAsia" w:hint="eastAsia"/>
                <w:szCs w:val="21"/>
              </w:rPr>
              <w:t>邱淑女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学工部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6C4" w:rsidRDefault="006846C4" w:rsidP="00503B3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46C4" w:rsidTr="00503B3D">
        <w:trPr>
          <w:trHeight w:val="195"/>
          <w:jc w:val="center"/>
        </w:trPr>
        <w:tc>
          <w:tcPr>
            <w:tcW w:w="144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C4" w:rsidRPr="00040AC0" w:rsidRDefault="006846C4" w:rsidP="00503B3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548E9">
              <w:rPr>
                <w:rFonts w:asciiTheme="minorEastAsia" w:hAnsiTheme="minorEastAsia" w:hint="eastAsia"/>
                <w:b/>
                <w:sz w:val="24"/>
                <w:szCs w:val="24"/>
              </w:rPr>
              <w:t>注：</w:t>
            </w:r>
            <w:r w:rsidRPr="00E548E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《浙江省高等职业院校教学工作及业绩考核定性材料申报表》</w:t>
            </w:r>
            <w:r w:rsidRPr="00E5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中“</w:t>
            </w:r>
            <w:r w:rsidRPr="00E548E9">
              <w:rPr>
                <w:rFonts w:asciiTheme="minorEastAsia" w:hAnsiTheme="minorEastAsia" w:hint="eastAsia"/>
                <w:b/>
                <w:sz w:val="24"/>
                <w:szCs w:val="24"/>
              </w:rPr>
              <w:t>4.1 教学改革</w:t>
            </w:r>
            <w:r w:rsidRPr="00E5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、“</w:t>
            </w:r>
            <w:r w:rsidRPr="006E19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4.2 办学特色情况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”和“</w:t>
            </w:r>
            <w:r>
              <w:rPr>
                <w:rFonts w:hint="eastAsia"/>
              </w:rPr>
              <w:t xml:space="preserve"> </w:t>
            </w:r>
            <w:r w:rsidRPr="006E19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5.1校企合作教学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”、“</w:t>
            </w:r>
            <w:r w:rsidRPr="006E19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7.2在省内外产生积极重大影响的教学工作成果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”</w:t>
            </w:r>
            <w:r w:rsidRPr="00E5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由教务处主笔，系部和学工部配合。</w:t>
            </w:r>
          </w:p>
        </w:tc>
      </w:tr>
    </w:tbl>
    <w:p w:rsidR="006846C4" w:rsidRDefault="006846C4" w:rsidP="006846C4">
      <w:pPr>
        <w:rPr>
          <w:rFonts w:asciiTheme="minorEastAsia" w:hAnsiTheme="minorEastAsia"/>
          <w:b/>
          <w:sz w:val="24"/>
          <w:szCs w:val="24"/>
        </w:rPr>
      </w:pPr>
    </w:p>
    <w:p w:rsidR="006846C4" w:rsidRDefault="006846C4" w:rsidP="006846C4"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特别注意：所有数据和佐证材料的时间是</w:t>
      </w:r>
      <w:r w:rsidRPr="000A4C82">
        <w:rPr>
          <w:rFonts w:asciiTheme="minorEastAsia" w:hAnsiTheme="minorEastAsia"/>
          <w:b/>
          <w:sz w:val="24"/>
          <w:szCs w:val="24"/>
        </w:rPr>
        <w:t>2015年9月1日到2016年8月31日</w:t>
      </w:r>
      <w:r>
        <w:rPr>
          <w:rFonts w:asciiTheme="minorEastAsia" w:hAnsiTheme="minorEastAsia" w:hint="eastAsia"/>
          <w:b/>
          <w:sz w:val="24"/>
          <w:szCs w:val="24"/>
        </w:rPr>
        <w:t>，且与“数据平台”保持一致，文字表述和佐证材料均用电子版以“部门+教学业绩考核”为名于12月9日前统一汇总至教务处（科研发展处）夏娟飞老师处。</w:t>
      </w:r>
    </w:p>
    <w:p w:rsidR="006846C4" w:rsidRDefault="006846C4" w:rsidP="006846C4"/>
    <w:p w:rsidR="006846C4" w:rsidRDefault="006846C4" w:rsidP="006846C4"/>
    <w:p w:rsidR="006846C4" w:rsidRDefault="006846C4" w:rsidP="006846C4"/>
    <w:p w:rsidR="006846C4" w:rsidRDefault="006846C4" w:rsidP="006846C4"/>
    <w:p w:rsidR="006846C4" w:rsidRDefault="006846C4" w:rsidP="006846C4"/>
    <w:p w:rsidR="00565718" w:rsidRPr="006846C4" w:rsidRDefault="00565718">
      <w:bookmarkStart w:id="0" w:name="_GoBack"/>
      <w:bookmarkEnd w:id="0"/>
    </w:p>
    <w:sectPr w:rsidR="00565718" w:rsidRPr="006846C4" w:rsidSect="006846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78" w:rsidRDefault="003F1478" w:rsidP="006846C4">
      <w:r>
        <w:separator/>
      </w:r>
    </w:p>
  </w:endnote>
  <w:endnote w:type="continuationSeparator" w:id="0">
    <w:p w:rsidR="003F1478" w:rsidRDefault="003F1478" w:rsidP="0068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78" w:rsidRDefault="003F1478" w:rsidP="006846C4">
      <w:r>
        <w:separator/>
      </w:r>
    </w:p>
  </w:footnote>
  <w:footnote w:type="continuationSeparator" w:id="0">
    <w:p w:rsidR="003F1478" w:rsidRDefault="003F1478" w:rsidP="0068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18A8"/>
    <w:multiLevelType w:val="hybridMultilevel"/>
    <w:tmpl w:val="64BCEADC"/>
    <w:lvl w:ilvl="0" w:tplc="1C10131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11"/>
    <w:rsid w:val="002F3111"/>
    <w:rsid w:val="003F1478"/>
    <w:rsid w:val="00565718"/>
    <w:rsid w:val="006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FDA140-7BD7-42FB-AE9B-06074F15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6C4"/>
    <w:rPr>
      <w:sz w:val="18"/>
      <w:szCs w:val="18"/>
    </w:rPr>
  </w:style>
  <w:style w:type="paragraph" w:styleId="a7">
    <w:name w:val="List Paragraph"/>
    <w:basedOn w:val="a"/>
    <w:uiPriority w:val="34"/>
    <w:qFormat/>
    <w:rsid w:val="006846C4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59"/>
    <w:rsid w:val="006846C4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2239</Characters>
  <Application>Microsoft Office Word</Application>
  <DocSecurity>0</DocSecurity>
  <Lines>18</Lines>
  <Paragraphs>5</Paragraphs>
  <ScaleCrop>false</ScaleCrop>
  <Company>china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2016-11-22T01:15:00Z</dcterms:created>
  <dcterms:modified xsi:type="dcterms:W3CDTF">2016-11-22T01:16:00Z</dcterms:modified>
</cp:coreProperties>
</file>