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440" w:lineRule="exact"/>
        <w:jc w:val="center"/>
        <w:rPr>
          <w:rFonts w:hint="eastAsia" w:ascii="仿宋_GB2312" w:eastAsia="仿宋_GB2312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/>
          <w:szCs w:val="20"/>
        </w:rPr>
        <w:t xml:space="preserve">   </w:t>
      </w:r>
    </w:p>
    <w:p>
      <w:pPr>
        <w:rPr>
          <w:rFonts w:ascii="黑体" w:hAnsi="宋体" w:eastAsia="黑体"/>
        </w:rPr>
      </w:pPr>
    </w:p>
    <w:p>
      <w:pPr>
        <w:rPr>
          <w:rFonts w:ascii="黑体" w:hAnsi="宋体" w:eastAsia="黑体"/>
        </w:rPr>
      </w:pPr>
    </w:p>
    <w:p>
      <w:pPr>
        <w:rPr>
          <w:rFonts w:ascii="黑体" w:hAnsi="宋体" w:eastAsia="黑体"/>
        </w:rPr>
      </w:pPr>
    </w:p>
    <w:p>
      <w:pPr>
        <w:rPr>
          <w:rFonts w:ascii="黑体" w:hAnsi="宋体" w:eastAsia="黑体"/>
        </w:rPr>
      </w:pPr>
    </w:p>
    <w:p>
      <w:pPr>
        <w:rPr>
          <w:rFonts w:ascii="黑体" w:hAnsi="宋体" w:eastAsia="黑体"/>
        </w:rPr>
      </w:pPr>
    </w:p>
    <w:p>
      <w:pPr>
        <w:rPr>
          <w:rFonts w:ascii="黑体" w:hAnsi="宋体" w:eastAsia="黑体"/>
        </w:rPr>
      </w:pPr>
      <w:r>
        <w:rPr>
          <w:rFonts w:ascii="黑体" w:hAnsi="宋体" w:eastAsia="黑体"/>
        </w:rPr>
        <w:tab/>
      </w:r>
    </w:p>
    <w:p>
      <w:pPr>
        <w:rPr>
          <w:rFonts w:hint="eastAsia" w:ascii="黑体" w:hAnsi="宋体" w:eastAsia="黑体"/>
        </w:rPr>
      </w:pPr>
    </w:p>
    <w:p>
      <w:pPr>
        <w:jc w:val="center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浙特教职院</w:t>
      </w:r>
      <w:r>
        <w:rPr>
          <w:rFonts w:hint="eastAsia" w:ascii="华文仿宋" w:hAnsi="华文仿宋" w:eastAsia="华文仿宋" w:cs="仿宋_GB2312"/>
          <w:sz w:val="32"/>
          <w:szCs w:val="32"/>
        </w:rPr>
        <w:t>〔</w:t>
      </w:r>
      <w:r>
        <w:rPr>
          <w:rFonts w:ascii="华文仿宋" w:hAnsi="华文仿宋" w:eastAsia="华文仿宋" w:cs="仿宋_GB2312"/>
          <w:sz w:val="32"/>
          <w:szCs w:val="32"/>
        </w:rPr>
        <w:t>201</w:t>
      </w:r>
      <w:r>
        <w:rPr>
          <w:rFonts w:hint="eastAsia" w:ascii="华文仿宋" w:hAnsi="华文仿宋" w:eastAsia="华文仿宋" w:cs="仿宋_GB2312"/>
          <w:sz w:val="32"/>
          <w:szCs w:val="32"/>
          <w:lang w:val="en-US" w:eastAsia="zh-CN"/>
        </w:rPr>
        <w:t>7</w:t>
      </w:r>
      <w:r>
        <w:rPr>
          <w:rFonts w:hint="eastAsia" w:ascii="华文仿宋" w:hAnsi="华文仿宋" w:eastAsia="华文仿宋" w:cs="仿宋_GB2312"/>
          <w:sz w:val="32"/>
          <w:szCs w:val="32"/>
        </w:rPr>
        <w:t>〕</w:t>
      </w:r>
      <w:r>
        <w:rPr>
          <w:rFonts w:hint="eastAsia" w:ascii="华文仿宋" w:hAnsi="华文仿宋" w:eastAsia="华文仿宋" w:cs="仿宋_GB2312"/>
          <w:sz w:val="32"/>
          <w:szCs w:val="32"/>
          <w:lang w:val="en-US" w:eastAsia="zh-CN"/>
        </w:rPr>
        <w:t>77</w:t>
      </w:r>
      <w:r>
        <w:rPr>
          <w:rFonts w:hint="eastAsia" w:ascii="华文仿宋" w:hAnsi="华文仿宋" w:eastAsia="华文仿宋" w:cs="仿宋_GB2312"/>
          <w:sz w:val="32"/>
          <w:szCs w:val="32"/>
        </w:rPr>
        <w:t>号</w:t>
      </w:r>
    </w:p>
    <w:p>
      <w:pPr>
        <w:widowControl/>
        <w:shd w:val="clear" w:color="auto" w:fill="FFFFFF"/>
        <w:jc w:val="center"/>
        <w:rPr>
          <w:rFonts w:hint="eastAsia" w:ascii="宋体"/>
          <w:b/>
          <w:bCs/>
          <w:sz w:val="44"/>
          <w:szCs w:val="44"/>
        </w:rPr>
      </w:pPr>
    </w:p>
    <w:p>
      <w:pPr>
        <w:widowControl/>
        <w:shd w:val="clear" w:color="auto" w:fill="FFFFFF"/>
        <w:jc w:val="center"/>
        <w:rPr>
          <w:rFonts w:hint="eastAsia" w:ascii="宋体"/>
          <w:b/>
          <w:bCs/>
          <w:sz w:val="44"/>
          <w:szCs w:val="44"/>
        </w:rPr>
      </w:pPr>
      <w:r>
        <w:rPr>
          <w:rFonts w:hint="eastAsia" w:ascii="宋体"/>
          <w:b/>
          <w:bCs/>
          <w:sz w:val="44"/>
          <w:szCs w:val="44"/>
        </w:rPr>
        <w:t>浙江特殊教育职业学院</w:t>
      </w:r>
    </w:p>
    <w:p>
      <w:pPr>
        <w:widowControl/>
        <w:shd w:val="clear" w:color="auto" w:fill="FFFFFF"/>
        <w:jc w:val="center"/>
        <w:rPr>
          <w:rFonts w:hint="eastAsia" w:ascii="宋体"/>
          <w:b/>
          <w:bCs/>
          <w:sz w:val="44"/>
          <w:szCs w:val="44"/>
        </w:rPr>
      </w:pPr>
      <w:r>
        <w:rPr>
          <w:rFonts w:hint="eastAsia" w:ascii="宋体"/>
          <w:b/>
          <w:bCs/>
          <w:sz w:val="44"/>
          <w:szCs w:val="44"/>
        </w:rPr>
        <w:t>教研室工作规范和考核办法</w:t>
      </w:r>
    </w:p>
    <w:p>
      <w:pPr>
        <w:widowControl/>
        <w:shd w:val="clear" w:color="auto" w:fill="FFFFFF"/>
        <w:jc w:val="center"/>
        <w:rPr>
          <w:rFonts w:hint="eastAsia" w:ascii="宋体"/>
          <w:b/>
          <w:bCs/>
          <w:sz w:val="44"/>
          <w:szCs w:val="44"/>
        </w:rPr>
      </w:pPr>
      <w:r>
        <w:rPr>
          <w:rFonts w:hint="eastAsia" w:ascii="宋体"/>
          <w:b/>
          <w:bCs/>
          <w:sz w:val="44"/>
          <w:szCs w:val="44"/>
        </w:rPr>
        <w:t>（修订）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bookmarkStart w:id="0" w:name="OLE_LINK3"/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第一章   总  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第一条  教研室是学校教育、教学和科研、社会服务的基层组织，是隶属于系部直接组织教学管理和专业建设的基本单位。健全的教研室组织体系和良性的运行机制是提高我校教学质量、实现人才培养目标的重要保证。为进一步推动与规范我校教研室工作的开展，充分发挥教研室在教学、科研和社会服务中的作用，特制定本办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第二条  学校的各项教学与科研工作以及课程建设、专业建设、实训基地建设等教学基本建设都以教研室为依托贯彻落实。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第三条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教研室活动中涉及人、财、物等有关行政管理事项的，应向所在系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部提出建议，由所在系部决定和安排。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color="auto" w:sz="0" w:space="1"/>
            <w:left w:val="none" w:color="auto" w:sz="0" w:space="4"/>
            <w:bottom w:val="none" w:color="auto" w:sz="0" w:space="1"/>
            <w:right w:val="none" w:color="auto" w:sz="0" w:space="4"/>
          </w:pgBorders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第二章   教研室的设置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第四条  教研室的设立、调整必须经学校正式批准。学校根据各系部教学与科研任务、专业发展动态，宏观调控各系部教研室的设置。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第五条  教研室按专业或课程群设置，并应具备以下条件：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（一）专任教师一般不少于3人，其中原则上至少应有1名教师具有高级职称；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（二）教研室以专业或课程群为依托，一般应当以专业、专业方向或课程群命名；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（三）承担本专业和相近专业的教学与科研任务。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不具备上述条件的，应当编入学科相近的教研室，或者相近学科共同组建教研室。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 xml:space="preserve">    第六条  设立与调整教研室的程序：系部提出申请；教务处（科研发展处）审核；校长办公会议审批。教研室的调整一般以学年为期限。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第三章   教研室工作任务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第七条  教学工作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（一）根据专业培养目标，负责制订或修订专业人才培养方案、课程标准等教学文件。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（二）落实各课程的教学环节，统筹安排教师的各项教学任务。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（三）根据课程标准的要求，选用或编写适合的教材。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（四）负责制定本教研室所开设课程的考试大纲。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（五）具体负责课程设计、实习实训和毕业设计（论文）等实践教学。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（六）在教师编制教学进程表、备课与讲课以及相互听课、观摩研讨、教学检查、教学总结等工作中发挥组织、协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调、监督作用，保证各项教学活动正常开展。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（七）积极开展教学改革，组织教师在人才培养目标定位、培养模式、课程体系和教学内容等方面进行研究，优化人才培养方案。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第八条  教学研究和课程建设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（一）定期举行教研室活动，有计划开展教学研究。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（二）每学期至少组织教学观摩课一次，青年教师公开课1-2次，并要经常性地组织相互间的听课，及时总结、交流教学经验，检查改进教学工作。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（三）每学年对课程建设情况进行总结并按照校、系部课程评估要求进行自评。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（四）组织教师指导学生开展课外科技活动以及有关的技能竞赛活动。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（五）组织或参与校内外教学业务交流活动，包括教学观摩、学术讲座、专题研讨等。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（六）开展本教研室教学研究热点、教学中遇到的问题研讨，积极配合有关部门，做好各级教学研究项目、优秀教学成果等的申报、推荐工作。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第九条  科学研究与社会服务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（一）开展科学研究活动，确定稳定的科研方向，积极承担纵向、横向各类科研课题和科技服务项目。交流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教学研究成果的应用转化、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最新学科动态和科研成果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等研讨活动</w:t>
      </w:r>
      <w:r>
        <w:rPr>
          <w:rFonts w:hint="eastAsia" w:ascii="仿宋" w:hAnsi="仿宋" w:eastAsia="仿宋" w:cs="仿宋"/>
          <w:kern w:val="0"/>
          <w:sz w:val="32"/>
          <w:szCs w:val="32"/>
        </w:rPr>
        <w:t>。积极吸收学生参与课题研究和科技服务项目。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分享课题立项经验，做好研究成果的及时推广。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（二）在保证完成教学、科研任务的前提下，发挥教师的专长和学科的优势，开展有计划、有组织的社会服务活动，探索多种形式的产学研合作途径。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（三）积极参与校内外、国内外的各类学术交流活动。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第十条  师德教育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配合校、系开展热爱教育事业、为人师表等职业道德方面的教育活动，协助做好本教研室人员的思想政治工作。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第十一条  队伍建设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（一）配合校、系部师资队伍建设规划，着力抓好教师教学与科研业务素质的提高工作，具体落实学校青年教师导师制，发挥传、帮、带作用，提高青年教师的教学基本功。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（二）根据校、系部师资队伍建设规划总体要求，按照专业发展和开设课程的特点，师资基本结构状况等，制订师资培养计划，做到定方向、定任务、定要求、定措施，保证教学、科研工作的稳定有序。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第十二条  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学档案建设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注意收集、整理好下列档案资料，并按规定移交所属系部。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（一）教研室学期工作计划和工作总结；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（二）教学研究讨论记录及资料；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（三）教学检查分析、总结材料；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（四）教师听课记录本；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（五）科研学术交流及教师个人的科研成果等材料；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（六）各类教学文件；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（七）本教研室组织活动的资料及其他有关资料。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第四章   教研室工作制度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第十三条  会议制度。每学期教研室活动每月1-2次，每学期活动总数不少于6次，原则上为业务学习及教学研究、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科学研究与社会服务交流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第十四条  听课制度。教研室主任每周听课不少于1节，并有记录。每位教师相互听课每月不少于2节（新任教师三年及以下者每周听课不少于1节）。教研室组织的公开课、观摩课，教研室全体人员均应参加。听课后，应组织评议或交流活动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第十五条  集体备课制度。凡2人及以上教师同上一门课程的或属于课程教学、教材内容中的新问题、新疑点，教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研室组织课程教师集体备课，每学期不少于2次。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第十六条  检查汇报制度。加强各项工作的阶段性检查和常规性检查，每学期期中和期末应组织全面检查。定期向系部领导汇报本教研室工作，并接受校、系部的检查。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第十七条  考核制度。按照学校对教师工作综合业绩考核的规定和布置，结合本教研室检查情况和评估小结，配合系部做好考核工作，并上报有关材料。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第五章   教研室主任职责与待遇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第十八条  教研室主任的聘任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（一）教研室一般设主任一名，10人以上的教研室可视情况增设副主任一名。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（二）教研室主任应当由思想素质好、学术水平高、教学经验丰富并有一定管理能力的教师担任。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（三）教研室主任的聘任，一般应在广泛征求教研室教师及相关人员意见的基础上，由系部主任提名，经教务处（科研发展处）审核，教学例会讨论，报校长办公会议审批。教研室主任聘期三年，可以连聘连任。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第十九条  教研室主任岗位职责及待遇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（一）根据学校和系部的要求，负责组织和落实教学工作、教学研究和课程建设、科学研究和学术交流、师德教育、师资队伍建设以及教学档案建设等工作。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（二）落实各项教研室工作制度，包括会议制度、听课制度、集体备课制度、检查以及考核制度。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（三）协助系部，做好期末考试试卷的审核工作、教学质量的评价工作、教研室的学期总结工作以及其他各项系部交办的事情。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（四）教研室主任是学校培养学术带头人和行政管理干部的平台之一，教研室主任的工作津贴根据学校工作量计算办法的有关文件执行。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第六章  教研室的考核</w:t>
      </w:r>
    </w:p>
    <w:p>
      <w:pPr>
        <w:keepNext w:val="0"/>
        <w:keepLines w:val="0"/>
        <w:pageBreakBefore w:val="0"/>
        <w:widowControl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第二十条  优秀教研室的考核</w:t>
      </w:r>
    </w:p>
    <w:p>
      <w:pPr>
        <w:pStyle w:val="28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学校开展学年教研室的评比工作，其中“优秀”</w:t>
      </w:r>
    </w:p>
    <w:p>
      <w:pPr>
        <w:keepNext w:val="0"/>
        <w:keepLines w:val="0"/>
        <w:pageBreakBefore w:val="0"/>
        <w:widowControl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教研室的额度为30%。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20"/>
        </w:rPr>
        <w:t>（二）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教研室的考核由系部参照学校教研室考核指标要求，结合本系部各教研室的实际制定考核细则组织进行（考核细则报教务处备案），具体可通过采取查工作记录和成果、实时实地考察、向教研室成员做调查或座谈等方法开展。考核结果报教学委员会审核，公示无异议后报人事部门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20"/>
        </w:rPr>
      </w:pPr>
      <w:r>
        <w:rPr>
          <w:rFonts w:hint="eastAsia" w:ascii="仿宋" w:hAnsi="仿宋" w:eastAsia="仿宋" w:cs="仿宋"/>
          <w:kern w:val="0"/>
          <w:sz w:val="32"/>
          <w:szCs w:val="20"/>
        </w:rPr>
        <w:t>（三）教研室考核指标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（详见附件）</w:t>
      </w:r>
      <w:r>
        <w:rPr>
          <w:rFonts w:hint="eastAsia" w:ascii="仿宋" w:hAnsi="仿宋" w:eastAsia="仿宋" w:cs="仿宋"/>
          <w:kern w:val="0"/>
          <w:sz w:val="32"/>
          <w:szCs w:val="20"/>
        </w:rPr>
        <w:t>涉及本办法的第三—五章的内容，包括：教学任务安排与完成情况、教师个人考核部分内容、教研室活动、教研室管理及建议、产学研、教师培养和提高，教研室主任素质等内容。考核分三个等级：不合格、合格、 优秀。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20"/>
        </w:rPr>
      </w:pPr>
      <w:r>
        <w:rPr>
          <w:rFonts w:hint="eastAsia" w:ascii="仿宋" w:hAnsi="仿宋" w:eastAsia="仿宋" w:cs="仿宋"/>
          <w:kern w:val="0"/>
          <w:sz w:val="32"/>
          <w:szCs w:val="20"/>
        </w:rPr>
        <w:t>考核分两个层级操作：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20"/>
        </w:rPr>
      </w:pPr>
      <w:r>
        <w:rPr>
          <w:rFonts w:hint="eastAsia" w:ascii="仿宋" w:hAnsi="仿宋" w:eastAsia="仿宋" w:cs="仿宋"/>
          <w:kern w:val="0"/>
          <w:sz w:val="32"/>
          <w:szCs w:val="20"/>
        </w:rPr>
        <w:t>第一层级为合格部分：此部分为各教研室必须完成项目，每学期考核一次，低于90%为不合格，两学期均为合格的教研室方可参加良好教研室考核。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20"/>
        </w:rPr>
      </w:pPr>
      <w:r>
        <w:rPr>
          <w:rFonts w:hint="eastAsia" w:ascii="仿宋" w:hAnsi="仿宋" w:eastAsia="仿宋" w:cs="仿宋"/>
          <w:kern w:val="0"/>
          <w:sz w:val="32"/>
          <w:szCs w:val="20"/>
        </w:rPr>
        <w:t>第二层级为优秀部分：此部分内容根据各教研室实际情况，根据教研室、系部、教务处的工作目标，由系部明确各教研室考核内容的侧重点，每年考核一次，从高到低评出优秀。</w:t>
      </w:r>
    </w:p>
    <w:p>
      <w:pPr>
        <w:keepNext w:val="0"/>
        <w:keepLines w:val="0"/>
        <w:pageBreakBefore w:val="0"/>
        <w:widowControl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（四）获得“优秀”的教研室在下一学年的团队项目申</w:t>
      </w:r>
    </w:p>
    <w:p>
      <w:pPr>
        <w:keepNext w:val="0"/>
        <w:keepLines w:val="0"/>
        <w:pageBreakBefore w:val="0"/>
        <w:widowControl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报中优先，每位成员学校奖励200元，同时，相应教研组长或专业负责人的20当量学时按120%发放；获得“及格”教研室的主任或负责人，20当量学时按100%发放；“不及格”教研室的主任或负责人，20当量学时不发放，相应教研室在下一学年的团队项目申报中不予考虑。</w:t>
      </w:r>
    </w:p>
    <w:p>
      <w:pPr>
        <w:keepNext w:val="0"/>
        <w:keepLines w:val="0"/>
        <w:pageBreakBefore w:val="0"/>
        <w:widowControl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本办法由教务处负责解释，自发布之日起执行，原浙江特殊教育职业学院教研室工作规范和考核办法（试行）（浙特教职院〔2016〕91号）同时废止。      </w:t>
      </w:r>
    </w:p>
    <w:p>
      <w:pPr>
        <w:widowControl/>
        <w:tabs>
          <w:tab w:val="left" w:pos="1080"/>
        </w:tabs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附件：教研室考核指标</w:t>
      </w:r>
    </w:p>
    <w:p>
      <w:pPr>
        <w:widowControl/>
        <w:tabs>
          <w:tab w:val="left" w:pos="1080"/>
        </w:tabs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4800" w:firstLineChars="1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浙江特殊教育职业学院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2017年10月25日</w:t>
      </w:r>
    </w:p>
    <w:tbl>
      <w:tblPr>
        <w:tblStyle w:val="15"/>
        <w:tblpPr w:leftFromText="180" w:rightFromText="180" w:vertAnchor="text" w:horzAnchor="page" w:tblpX="2152" w:tblpY="1795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浙江特殊教育职业学院办公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室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201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日印发</w:t>
            </w:r>
          </w:p>
        </w:tc>
      </w:tr>
    </w:tbl>
    <w:p>
      <w:pPr>
        <w:autoSpaceDE w:val="0"/>
        <w:autoSpaceDN w:val="0"/>
        <w:adjustRightInd w:val="0"/>
        <w:spacing w:line="440" w:lineRule="atLeas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p>
      <w:pPr>
        <w:widowControl/>
        <w:tabs>
          <w:tab w:val="left" w:pos="1080"/>
        </w:tabs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tabs>
          <w:tab w:val="left" w:pos="1080"/>
        </w:tabs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</w:rPr>
        <w:t>附件：教研室考核指标</w:t>
      </w:r>
    </w:p>
    <w:bookmarkEnd w:id="0"/>
    <w:tbl>
      <w:tblPr>
        <w:tblStyle w:val="15"/>
        <w:tblW w:w="8165" w:type="dxa"/>
        <w:tblCellSpacing w:w="0" w:type="dxa"/>
        <w:tblInd w:w="1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5" w:type="dxa"/>
            <w:vAlign w:val="center"/>
          </w:tcPr>
          <w:tbl>
            <w:tblPr>
              <w:tblStyle w:val="15"/>
              <w:tblW w:w="7984" w:type="dxa"/>
              <w:tblInd w:w="0" w:type="dxa"/>
              <w:tblBorders>
                <w:top w:val="single" w:color="000000" w:themeColor="text1" w:sz="8" w:space="0"/>
                <w:left w:val="single" w:color="000000" w:themeColor="text1" w:sz="8" w:space="0"/>
                <w:bottom w:val="single" w:color="000000" w:themeColor="text1" w:sz="8" w:space="0"/>
                <w:right w:val="single" w:color="000000" w:themeColor="text1" w:sz="8" w:space="0"/>
                <w:insideH w:val="single" w:color="000000" w:themeColor="text1" w:sz="8" w:space="0"/>
                <w:insideV w:val="single" w:color="000000" w:themeColor="text1" w:sz="8" w:space="0"/>
              </w:tblBorders>
              <w:shd w:val="clear" w:color="auto" w:fill="FFFFFF" w:themeFill="background1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29"/>
              <w:gridCol w:w="1670"/>
              <w:gridCol w:w="4310"/>
              <w:gridCol w:w="1175"/>
            </w:tblGrid>
            <w:tr>
              <w:tblPrEx>
                <w:tbl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  <w:insideH w:val="single" w:color="000000" w:themeColor="text1" w:sz="8" w:space="0"/>
                  <w:insideV w:val="single" w:color="000000" w:themeColor="text1" w:sz="8" w:space="0"/>
                </w:tblBorders>
                <w:shd w:val="clear" w:color="auto" w:fill="FFFFFF" w:themeFill="background1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/>
                <w:tblHeader/>
              </w:trPr>
              <w:tc>
                <w:tcPr>
                  <w:tcW w:w="829" w:type="dxa"/>
                  <w:tcBorders>
                    <w:tl2br w:val="nil"/>
                    <w:tr2bl w:val="nil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60" w:lineRule="exact"/>
                    <w:jc w:val="left"/>
                    <w:rPr>
                      <w:rFonts w:cs="宋体" w:asciiTheme="minorEastAsia" w:hAnsiTheme="minorEastAsia" w:eastAsiaTheme="minorEastAsia"/>
                      <w:b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/>
                      <w:color w:val="000000"/>
                      <w:kern w:val="0"/>
                      <w:szCs w:val="21"/>
                    </w:rPr>
                    <w:t>层级</w:t>
                  </w:r>
                </w:p>
              </w:tc>
              <w:tc>
                <w:tcPr>
                  <w:tcW w:w="1670" w:type="dxa"/>
                  <w:tcBorders>
                    <w:tl2br w:val="nil"/>
                    <w:tr2bl w:val="nil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60" w:lineRule="exact"/>
                    <w:jc w:val="left"/>
                    <w:rPr>
                      <w:rFonts w:cs="宋体" w:asciiTheme="minorEastAsia" w:hAnsiTheme="minorEastAsia" w:eastAsiaTheme="minorEastAsia"/>
                      <w:b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/>
                      <w:color w:val="000000"/>
                      <w:kern w:val="0"/>
                      <w:szCs w:val="21"/>
                    </w:rPr>
                    <w:t>项目细类</w:t>
                  </w:r>
                </w:p>
              </w:tc>
              <w:tc>
                <w:tcPr>
                  <w:tcW w:w="4310" w:type="dxa"/>
                  <w:tcBorders>
                    <w:tl2br w:val="nil"/>
                    <w:tr2bl w:val="nil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60" w:lineRule="exact"/>
                    <w:jc w:val="left"/>
                    <w:rPr>
                      <w:rFonts w:cs="宋体" w:asciiTheme="minorEastAsia" w:hAnsiTheme="minorEastAsia" w:eastAsiaTheme="minorEastAsia"/>
                      <w:b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/>
                      <w:color w:val="000000"/>
                      <w:kern w:val="0"/>
                      <w:szCs w:val="21"/>
                    </w:rPr>
                    <w:t>主要考核内容</w:t>
                  </w:r>
                </w:p>
              </w:tc>
              <w:tc>
                <w:tcPr>
                  <w:tcW w:w="1175" w:type="dxa"/>
                  <w:tcBorders>
                    <w:tl2br w:val="nil"/>
                    <w:tr2bl w:val="nil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60" w:lineRule="exact"/>
                    <w:jc w:val="left"/>
                    <w:rPr>
                      <w:rFonts w:cs="宋体" w:asciiTheme="minorEastAsia" w:hAnsiTheme="minorEastAsia" w:eastAsiaTheme="minorEastAsia"/>
                      <w:b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/>
                      <w:color w:val="000000"/>
                      <w:kern w:val="0"/>
                      <w:szCs w:val="21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  <w:insideH w:val="single" w:color="000000" w:themeColor="text1" w:sz="8" w:space="0"/>
                  <w:insideV w:val="single" w:color="000000" w:themeColor="text1" w:sz="8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29" w:type="dxa"/>
                  <w:vMerge w:val="restart"/>
                  <w:tcBorders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bookmarkStart w:id="1" w:name="_GoBack" w:colFirst="0" w:colLast="3"/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一</w:t>
                  </w:r>
                </w:p>
              </w:tc>
              <w:tc>
                <w:tcPr>
                  <w:tcW w:w="1670" w:type="dxa"/>
                  <w:tcBorders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1．课程标准、指导书</w:t>
                  </w:r>
                </w:p>
              </w:tc>
              <w:tc>
                <w:tcPr>
                  <w:tcW w:w="4310" w:type="dxa"/>
                  <w:tcBorders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教研室教师所任课程课程标准齐全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标准执行情况说明及修改意见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教研室教师所任课程实训指导书齐全</w:t>
                  </w:r>
                </w:p>
              </w:tc>
              <w:tc>
                <w:tcPr>
                  <w:tcW w:w="1175" w:type="dxa"/>
                  <w:tcBorders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  <w:insideH w:val="single" w:color="000000" w:themeColor="text1" w:sz="8" w:space="0"/>
                  <w:insideV w:val="single" w:color="000000" w:themeColor="text1" w:sz="8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29" w:type="dxa"/>
                  <w:vMerge w:val="continue"/>
                  <w:tcBorders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</w:p>
              </w:tc>
              <w:tc>
                <w:tcPr>
                  <w:tcW w:w="1670" w:type="dxa"/>
                  <w:tcBorders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2．教材</w:t>
                  </w:r>
                </w:p>
              </w:tc>
              <w:tc>
                <w:tcPr>
                  <w:tcW w:w="4310" w:type="dxa"/>
                  <w:tcBorders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按时上交选用教材申报表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对未征订教材写出书面说明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对更换已征订教材应写出书面说明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认真做好教材使用情况说明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对自编教材写出编写计划</w:t>
                  </w:r>
                </w:p>
              </w:tc>
              <w:tc>
                <w:tcPr>
                  <w:tcW w:w="1175" w:type="dxa"/>
                  <w:tcBorders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  <w:insideH w:val="single" w:color="000000" w:themeColor="text1" w:sz="8" w:space="0"/>
                  <w:insideV w:val="single" w:color="000000" w:themeColor="text1" w:sz="8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29" w:type="dxa"/>
                  <w:vMerge w:val="continue"/>
                  <w:tcBorders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</w:p>
              </w:tc>
              <w:tc>
                <w:tcPr>
                  <w:tcW w:w="1670" w:type="dxa"/>
                  <w:tcBorders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3．教研室工作计划与总结</w:t>
                  </w:r>
                </w:p>
              </w:tc>
              <w:tc>
                <w:tcPr>
                  <w:tcW w:w="4310" w:type="dxa"/>
                  <w:tcBorders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按时上报工作计划与总结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工作计划中教研活动内容充实有一定质量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100%完成工作计划（计划变动应履行手续）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计划内各项活动安排具体，项目齐全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按时上交学期教研室工作总结</w:t>
                  </w:r>
                </w:p>
              </w:tc>
              <w:tc>
                <w:tcPr>
                  <w:tcW w:w="1175" w:type="dxa"/>
                  <w:tcBorders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  <w:insideH w:val="single" w:color="000000" w:themeColor="text1" w:sz="8" w:space="0"/>
                  <w:insideV w:val="single" w:color="000000" w:themeColor="text1" w:sz="8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29" w:type="dxa"/>
                  <w:vMerge w:val="continue"/>
                  <w:tcBorders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</w:p>
              </w:tc>
              <w:tc>
                <w:tcPr>
                  <w:tcW w:w="1670" w:type="dxa"/>
                  <w:tcBorders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4．教学任务安排</w:t>
                  </w:r>
                </w:p>
              </w:tc>
              <w:tc>
                <w:tcPr>
                  <w:tcW w:w="4310" w:type="dxa"/>
                  <w:tcBorders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按时完成教学任务落实工作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做到优先安排新课程、实训任务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均衡分配教师力量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落实外聘教师及时、资质合格</w:t>
                  </w:r>
                </w:p>
              </w:tc>
              <w:tc>
                <w:tcPr>
                  <w:tcW w:w="1175" w:type="dxa"/>
                  <w:tcBorders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  <w:insideH w:val="single" w:color="000000" w:themeColor="text1" w:sz="8" w:space="0"/>
                  <w:insideV w:val="single" w:color="000000" w:themeColor="text1" w:sz="8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29" w:type="dxa"/>
                  <w:vMerge w:val="continue"/>
                  <w:tcBorders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</w:p>
              </w:tc>
              <w:tc>
                <w:tcPr>
                  <w:tcW w:w="1670" w:type="dxa"/>
                  <w:tcBorders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5．集体备课</w:t>
                  </w:r>
                </w:p>
              </w:tc>
              <w:tc>
                <w:tcPr>
                  <w:tcW w:w="4310" w:type="dxa"/>
                  <w:tcBorders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每学期进行不少于两次的集体备课（明确教学目的、内容、课程重点、难点、教法应用、考试题型及各部分内容所占比例、考核方式等）</w:t>
                  </w:r>
                </w:p>
              </w:tc>
              <w:tc>
                <w:tcPr>
                  <w:tcW w:w="1175" w:type="dxa"/>
                  <w:tcBorders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  <w:insideH w:val="single" w:color="000000" w:themeColor="text1" w:sz="8" w:space="0"/>
                  <w:insideV w:val="single" w:color="000000" w:themeColor="text1" w:sz="8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29" w:type="dxa"/>
                  <w:vMerge w:val="continue"/>
                  <w:tcBorders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</w:p>
              </w:tc>
              <w:tc>
                <w:tcPr>
                  <w:tcW w:w="1670" w:type="dxa"/>
                  <w:tcBorders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6．授课、实训计划</w:t>
                  </w:r>
                </w:p>
              </w:tc>
              <w:tc>
                <w:tcPr>
                  <w:tcW w:w="4310" w:type="dxa"/>
                  <w:tcBorders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按时完成上交各项内容填写完整、准确</w:t>
                  </w:r>
                </w:p>
              </w:tc>
              <w:tc>
                <w:tcPr>
                  <w:tcW w:w="1175" w:type="dxa"/>
                  <w:tcBorders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  <w:insideH w:val="single" w:color="000000" w:themeColor="text1" w:sz="8" w:space="0"/>
                  <w:insideV w:val="single" w:color="000000" w:themeColor="text1" w:sz="8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29" w:type="dxa"/>
                  <w:vMerge w:val="continue"/>
                  <w:tcBorders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</w:p>
              </w:tc>
              <w:tc>
                <w:tcPr>
                  <w:tcW w:w="1670" w:type="dxa"/>
                  <w:tcBorders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7．教学进度与教学进程</w:t>
                  </w:r>
                </w:p>
              </w:tc>
              <w:tc>
                <w:tcPr>
                  <w:tcW w:w="4310" w:type="dxa"/>
                  <w:tcBorders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教学进度与学期授课计划相符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按教学进程表完成各项教学活动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按时上交实验单、计划、成绩等材料</w:t>
                  </w:r>
                </w:p>
              </w:tc>
              <w:tc>
                <w:tcPr>
                  <w:tcW w:w="1175" w:type="dxa"/>
                  <w:tcBorders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  <w:insideH w:val="single" w:color="000000" w:themeColor="text1" w:sz="8" w:space="0"/>
                  <w:insideV w:val="single" w:color="000000" w:themeColor="text1" w:sz="8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29" w:type="dxa"/>
                  <w:vMerge w:val="continue"/>
                  <w:tcBorders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</w:p>
              </w:tc>
              <w:tc>
                <w:tcPr>
                  <w:tcW w:w="1670" w:type="dxa"/>
                  <w:tcBorders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8．备课与授课</w:t>
                  </w:r>
                </w:p>
              </w:tc>
              <w:tc>
                <w:tcPr>
                  <w:tcW w:w="4310" w:type="dxa"/>
                  <w:tcBorders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随机抽查教案有2周提前备课量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教学目的、要求明确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重点、难点突出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时间分配利用合理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注意学生学习情况，做到教书育人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教学方法非单一化       </w:t>
                  </w:r>
                </w:p>
              </w:tc>
              <w:tc>
                <w:tcPr>
                  <w:tcW w:w="1175" w:type="dxa"/>
                  <w:tcBorders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  <w:insideH w:val="single" w:color="000000" w:themeColor="text1" w:sz="8" w:space="0"/>
                  <w:insideV w:val="single" w:color="000000" w:themeColor="text1" w:sz="8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29" w:type="dxa"/>
                  <w:vMerge w:val="continue"/>
                  <w:tcBorders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</w:p>
              </w:tc>
              <w:tc>
                <w:tcPr>
                  <w:tcW w:w="1670" w:type="dxa"/>
                  <w:tcBorders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9．听课</w:t>
                  </w:r>
                </w:p>
              </w:tc>
              <w:tc>
                <w:tcPr>
                  <w:tcW w:w="4310" w:type="dxa"/>
                  <w:tcBorders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每学期每位教师完成听课任务，并认真填写听课记录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做好新教师试讲听课、评议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做好学校和系部布置的重点课程听评议工作</w:t>
                  </w:r>
                </w:p>
              </w:tc>
              <w:tc>
                <w:tcPr>
                  <w:tcW w:w="1175" w:type="dxa"/>
                  <w:tcBorders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  <w:insideH w:val="single" w:color="000000" w:themeColor="text1" w:sz="8" w:space="0"/>
                  <w:insideV w:val="single" w:color="000000" w:themeColor="text1" w:sz="8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29" w:type="dxa"/>
                  <w:vMerge w:val="continue"/>
                  <w:tcBorders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</w:p>
              </w:tc>
              <w:tc>
                <w:tcPr>
                  <w:tcW w:w="1670" w:type="dxa"/>
                  <w:tcBorders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10．作业与辅导</w:t>
                  </w:r>
                </w:p>
              </w:tc>
              <w:tc>
                <w:tcPr>
                  <w:tcW w:w="4310" w:type="dxa"/>
                  <w:tcBorders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布置作业与授课计划基本相同（80%以上）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批改次数达到课程标准及授课计划的规定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kern w:val="0"/>
                      <w:szCs w:val="21"/>
                    </w:rPr>
                    <w:t>全改、有订正、有成绩</w:t>
                  </w:r>
                </w:p>
              </w:tc>
              <w:tc>
                <w:tcPr>
                  <w:tcW w:w="1175" w:type="dxa"/>
                  <w:tcBorders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</w:p>
              </w:tc>
            </w:tr>
            <w:bookmarkEnd w:id="1"/>
            <w:tr>
              <w:tblPrEx>
                <w:tbl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  <w:insideH w:val="single" w:color="000000" w:themeColor="text1" w:sz="8" w:space="0"/>
                  <w:insideV w:val="single" w:color="000000" w:themeColor="text1" w:sz="8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29" w:type="dxa"/>
                  <w:vMerge w:val="continue"/>
                  <w:tcBorders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</w:p>
              </w:tc>
              <w:tc>
                <w:tcPr>
                  <w:tcW w:w="1670" w:type="dxa"/>
                  <w:tcBorders>
                    <w:tl2br w:val="nil"/>
                    <w:tr2bl w:val="nil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11．出勤与调课</w:t>
                  </w:r>
                </w:p>
              </w:tc>
              <w:tc>
                <w:tcPr>
                  <w:tcW w:w="4310" w:type="dxa"/>
                  <w:tcBorders>
                    <w:tl2br w:val="nil"/>
                    <w:tr2bl w:val="nil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无早退、中途离岗、旷工现象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公事假按要求办理手续，任务安排妥善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在职（含返聘）教师排课时无特殊要求</w:t>
                  </w:r>
                </w:p>
              </w:tc>
              <w:tc>
                <w:tcPr>
                  <w:tcW w:w="1175" w:type="dxa"/>
                  <w:tcBorders>
                    <w:tl2br w:val="nil"/>
                    <w:tr2bl w:val="nil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  <w:insideH w:val="single" w:color="000000" w:themeColor="text1" w:sz="8" w:space="0"/>
                  <w:insideV w:val="single" w:color="000000" w:themeColor="text1" w:sz="8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29" w:type="dxa"/>
                  <w:vMerge w:val="continue"/>
                  <w:tcBorders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</w:p>
              </w:tc>
              <w:tc>
                <w:tcPr>
                  <w:tcW w:w="1670" w:type="dxa"/>
                  <w:tcBorders>
                    <w:tl2br w:val="nil"/>
                    <w:tr2bl w:val="nil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12．日志与工作量</w:t>
                  </w:r>
                </w:p>
              </w:tc>
              <w:tc>
                <w:tcPr>
                  <w:tcW w:w="4310" w:type="dxa"/>
                  <w:tcBorders>
                    <w:tl2br w:val="nil"/>
                    <w:tr2bl w:val="nil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每次课都认真填写教室日志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及时向系部和教务处反映学生情况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无多报工作量情况</w:t>
                  </w:r>
                </w:p>
              </w:tc>
              <w:tc>
                <w:tcPr>
                  <w:tcW w:w="1175" w:type="dxa"/>
                  <w:tcBorders>
                    <w:tl2br w:val="nil"/>
                    <w:tr2bl w:val="nil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  <w:insideH w:val="single" w:color="000000" w:themeColor="text1" w:sz="8" w:space="0"/>
                  <w:insideV w:val="single" w:color="000000" w:themeColor="text1" w:sz="8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29" w:type="dxa"/>
                  <w:vMerge w:val="continue"/>
                  <w:tcBorders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</w:p>
              </w:tc>
              <w:tc>
                <w:tcPr>
                  <w:tcW w:w="1670" w:type="dxa"/>
                  <w:tcBorders>
                    <w:tl2br w:val="nil"/>
                    <w:tr2bl w:val="nil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13．考试</w:t>
                  </w:r>
                </w:p>
              </w:tc>
              <w:tc>
                <w:tcPr>
                  <w:tcW w:w="4310" w:type="dxa"/>
                  <w:tcBorders>
                    <w:tl2br w:val="nil"/>
                    <w:tr2bl w:val="nil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A、B卷（含技能）有标准答案，评分标准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按学校统一的时间要求上交考试成绩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成绩登记、项目、总评规范无误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试卷分析表填写认真、无缺项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成绩符合正态分布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监考报告单填写规范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试卷清点无误</w:t>
                  </w:r>
                </w:p>
              </w:tc>
              <w:tc>
                <w:tcPr>
                  <w:tcW w:w="1175" w:type="dxa"/>
                  <w:tcBorders>
                    <w:tl2br w:val="nil"/>
                    <w:tr2bl w:val="nil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  <w:insideH w:val="single" w:color="000000" w:themeColor="text1" w:sz="8" w:space="0"/>
                  <w:insideV w:val="single" w:color="000000" w:themeColor="text1" w:sz="8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29" w:type="dxa"/>
                  <w:vMerge w:val="continue"/>
                  <w:tcBorders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</w:p>
              </w:tc>
              <w:tc>
                <w:tcPr>
                  <w:tcW w:w="1670" w:type="dxa"/>
                  <w:tcBorders>
                    <w:tl2br w:val="nil"/>
                    <w:tr2bl w:val="nil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14．资料收集</w:t>
                  </w:r>
                </w:p>
              </w:tc>
              <w:tc>
                <w:tcPr>
                  <w:tcW w:w="4310" w:type="dxa"/>
                  <w:tcBorders>
                    <w:tl2br w:val="nil"/>
                    <w:tr2bl w:val="nil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教研室各项活动记录齐全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教研室涉及的计划、大纲、指导书齐全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上交教研室、教务处等资料齐全及时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参加交流、学习材料回校一周内交系部</w:t>
                  </w:r>
                </w:p>
              </w:tc>
              <w:tc>
                <w:tcPr>
                  <w:tcW w:w="1175" w:type="dxa"/>
                  <w:tcBorders>
                    <w:tl2br w:val="nil"/>
                    <w:tr2bl w:val="nil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  <w:insideH w:val="single" w:color="000000" w:themeColor="text1" w:sz="8" w:space="0"/>
                  <w:insideV w:val="single" w:color="000000" w:themeColor="text1" w:sz="8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29" w:type="dxa"/>
                  <w:vMerge w:val="continue"/>
                  <w:tcBorders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</w:p>
              </w:tc>
              <w:tc>
                <w:tcPr>
                  <w:tcW w:w="1670" w:type="dxa"/>
                  <w:tcBorders>
                    <w:tl2br w:val="nil"/>
                    <w:tr2bl w:val="nil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15．其他工作</w:t>
                  </w:r>
                </w:p>
              </w:tc>
              <w:tc>
                <w:tcPr>
                  <w:tcW w:w="4310" w:type="dxa"/>
                  <w:tcBorders>
                    <w:tl2br w:val="nil"/>
                    <w:tr2bl w:val="nil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按时完成学校各部门布置的其他工作</w:t>
                  </w:r>
                </w:p>
              </w:tc>
              <w:tc>
                <w:tcPr>
                  <w:tcW w:w="1175" w:type="dxa"/>
                  <w:tcBorders>
                    <w:tl2br w:val="nil"/>
                    <w:tr2bl w:val="nil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  <w:insideH w:val="single" w:color="000000" w:themeColor="text1" w:sz="8" w:space="0"/>
                  <w:insideV w:val="single" w:color="000000" w:themeColor="text1" w:sz="8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29" w:type="dxa"/>
                  <w:vMerge w:val="restart"/>
                  <w:tcBorders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二</w:t>
                  </w:r>
                </w:p>
              </w:tc>
              <w:tc>
                <w:tcPr>
                  <w:tcW w:w="1670" w:type="dxa"/>
                  <w:tcBorders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1．教研室主任素质</w:t>
                  </w:r>
                </w:p>
              </w:tc>
              <w:tc>
                <w:tcPr>
                  <w:tcW w:w="4310" w:type="dxa"/>
                  <w:tcBorders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事业心和责任感强，工作热情高。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具团结协作、组织能力，并能做好以身作则。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教学经验丰富，有较高的业务水平</w:t>
                  </w:r>
                </w:p>
              </w:tc>
              <w:tc>
                <w:tcPr>
                  <w:tcW w:w="1175" w:type="dxa"/>
                  <w:tcBorders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  <w:insideH w:val="single" w:color="000000" w:themeColor="text1" w:sz="8" w:space="0"/>
                  <w:insideV w:val="single" w:color="000000" w:themeColor="text1" w:sz="8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29" w:type="dxa"/>
                  <w:vMerge w:val="continue"/>
                  <w:tcBorders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</w:p>
              </w:tc>
              <w:tc>
                <w:tcPr>
                  <w:tcW w:w="1670" w:type="dxa"/>
                  <w:tcBorders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2．观摩教学</w:t>
                  </w:r>
                </w:p>
              </w:tc>
              <w:tc>
                <w:tcPr>
                  <w:tcW w:w="4310" w:type="dxa"/>
                  <w:tcBorders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观摩教学次数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讲授内容的难度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教学法应用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评议结果   </w:t>
                  </w:r>
                </w:p>
              </w:tc>
              <w:tc>
                <w:tcPr>
                  <w:tcW w:w="1175" w:type="dxa"/>
                  <w:tcBorders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  <w:insideH w:val="single" w:color="000000" w:themeColor="text1" w:sz="8" w:space="0"/>
                  <w:insideV w:val="single" w:color="000000" w:themeColor="text1" w:sz="8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29" w:type="dxa"/>
                  <w:vMerge w:val="continue"/>
                  <w:tcBorders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</w:p>
              </w:tc>
              <w:tc>
                <w:tcPr>
                  <w:tcW w:w="1670" w:type="dxa"/>
                  <w:tcBorders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3．第二课堂</w:t>
                  </w:r>
                </w:p>
              </w:tc>
              <w:tc>
                <w:tcPr>
                  <w:tcW w:w="4310" w:type="dxa"/>
                  <w:tcBorders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举办各类活动的次数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是否有效实施素质特别是创新创业教育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教师参与实训室开放后的指导或社团指导   </w:t>
                  </w:r>
                </w:p>
              </w:tc>
              <w:tc>
                <w:tcPr>
                  <w:tcW w:w="1175" w:type="dxa"/>
                  <w:tcBorders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  <w:insideH w:val="single" w:color="000000" w:themeColor="text1" w:sz="8" w:space="0"/>
                  <w:insideV w:val="single" w:color="000000" w:themeColor="text1" w:sz="8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29" w:type="dxa"/>
                  <w:vMerge w:val="continue"/>
                  <w:tcBorders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</w:p>
              </w:tc>
              <w:tc>
                <w:tcPr>
                  <w:tcW w:w="1670" w:type="dxa"/>
                  <w:tcBorders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4．</w:t>
                  </w:r>
                  <w:r>
                    <w:rPr>
                      <w:rFonts w:hint="eastAsia" w:cs="宋体" w:asciiTheme="minorEastAsia" w:hAnsiTheme="minorEastAsia" w:eastAsiaTheme="minorEastAsia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实训建设</w:t>
                  </w:r>
                </w:p>
              </w:tc>
              <w:tc>
                <w:tcPr>
                  <w:tcW w:w="4310" w:type="dxa"/>
                  <w:tcBorders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按时完成实训项目建设计划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不断提高实训效率、效果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对现有实训设备进行二次开发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开设新的实训项目   </w:t>
                  </w:r>
                </w:p>
              </w:tc>
              <w:tc>
                <w:tcPr>
                  <w:tcW w:w="1175" w:type="dxa"/>
                  <w:tcBorders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  <w:insideH w:val="single" w:color="000000" w:themeColor="text1" w:sz="8" w:space="0"/>
                  <w:insideV w:val="single" w:color="000000" w:themeColor="text1" w:sz="8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29" w:type="dxa"/>
                  <w:vMerge w:val="continue"/>
                  <w:tcBorders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</w:p>
              </w:tc>
              <w:tc>
                <w:tcPr>
                  <w:tcW w:w="1670" w:type="dxa"/>
                  <w:tcBorders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5．专业开发改造</w:t>
                  </w:r>
                </w:p>
              </w:tc>
              <w:tc>
                <w:tcPr>
                  <w:tcW w:w="4310" w:type="dxa"/>
                  <w:tcBorders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按工作计划完成专业开发、改造任务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计划质量高能体现特殊教育和职业教育特色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参与专业开发、改造的人数   </w:t>
                  </w:r>
                </w:p>
              </w:tc>
              <w:tc>
                <w:tcPr>
                  <w:tcW w:w="1175" w:type="dxa"/>
                  <w:tcBorders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  <w:insideH w:val="single" w:color="000000" w:themeColor="text1" w:sz="8" w:space="0"/>
                  <w:insideV w:val="single" w:color="000000" w:themeColor="text1" w:sz="8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29" w:type="dxa"/>
                  <w:vMerge w:val="continue"/>
                  <w:tcBorders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</w:p>
              </w:tc>
              <w:tc>
                <w:tcPr>
                  <w:tcW w:w="1670" w:type="dxa"/>
                  <w:tcBorders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6．教学手段运用</w:t>
                  </w:r>
                </w:p>
              </w:tc>
              <w:tc>
                <w:tcPr>
                  <w:tcW w:w="4310" w:type="dxa"/>
                  <w:tcBorders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能够应用多媒体或电化教学的课程门数效果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自制课件的数量与质量   </w:t>
                  </w:r>
                </w:p>
              </w:tc>
              <w:tc>
                <w:tcPr>
                  <w:tcW w:w="1175" w:type="dxa"/>
                  <w:tcBorders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  <w:insideH w:val="single" w:color="000000" w:themeColor="text1" w:sz="8" w:space="0"/>
                  <w:insideV w:val="single" w:color="000000" w:themeColor="text1" w:sz="8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29" w:type="dxa"/>
                  <w:vMerge w:val="continue"/>
                  <w:tcBorders/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</w:p>
              </w:tc>
              <w:tc>
                <w:tcPr>
                  <w:tcW w:w="1670" w:type="dxa"/>
                  <w:tcBorders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7．技能、等级评定考核</w:t>
                  </w:r>
                </w:p>
              </w:tc>
              <w:tc>
                <w:tcPr>
                  <w:tcW w:w="4310" w:type="dxa"/>
                  <w:tcBorders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取得证书人数比例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取得中级证书人数比例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组织辅导、集训等情况</w:t>
                  </w:r>
                </w:p>
              </w:tc>
              <w:tc>
                <w:tcPr>
                  <w:tcW w:w="1175" w:type="dxa"/>
                  <w:tcBorders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  <w:insideH w:val="single" w:color="000000" w:themeColor="text1" w:sz="8" w:space="0"/>
                  <w:insideV w:val="single" w:color="000000" w:themeColor="text1" w:sz="8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29" w:type="dxa"/>
                  <w:vMerge w:val="continue"/>
                  <w:tcBorders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</w:p>
              </w:tc>
              <w:tc>
                <w:tcPr>
                  <w:tcW w:w="1670" w:type="dxa"/>
                  <w:tcBorders>
                    <w:tl2br w:val="nil"/>
                    <w:tr2bl w:val="nil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8．教师培训</w:t>
                  </w:r>
                </w:p>
              </w:tc>
              <w:tc>
                <w:tcPr>
                  <w:tcW w:w="4310" w:type="dxa"/>
                  <w:tcBorders>
                    <w:tl2br w:val="nil"/>
                    <w:tr2bl w:val="nil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对不具备本科学历人员有学历进修计划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完成学校下达的各项进修任务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有计划安排教师下现场参加专业实践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双师型人才培训有计划、有成效</w:t>
                  </w:r>
                </w:p>
              </w:tc>
              <w:tc>
                <w:tcPr>
                  <w:tcW w:w="1175" w:type="dxa"/>
                  <w:tcBorders>
                    <w:tl2br w:val="nil"/>
                    <w:tr2bl w:val="nil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  <w:insideH w:val="single" w:color="000000" w:themeColor="text1" w:sz="8" w:space="0"/>
                  <w:insideV w:val="single" w:color="000000" w:themeColor="text1" w:sz="8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29" w:type="dxa"/>
                  <w:vMerge w:val="continue"/>
                  <w:tcBorders>
                    <w:tl2br w:val="nil"/>
                    <w:tr2bl w:val="nil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</w:p>
              </w:tc>
              <w:tc>
                <w:tcPr>
                  <w:tcW w:w="1670" w:type="dxa"/>
                  <w:tcBorders>
                    <w:tl2br w:val="nil"/>
                    <w:tr2bl w:val="nil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9．教学方法、模式改革</w:t>
                  </w:r>
                </w:p>
              </w:tc>
              <w:tc>
                <w:tcPr>
                  <w:tcW w:w="4310" w:type="dxa"/>
                  <w:tcBorders>
                    <w:tl2br w:val="nil"/>
                    <w:tr2bl w:val="nil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采用新方法、新模式有试点方案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试点工作有组织有步骤地进步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应用新方法、新模式已有成效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应用新方法、新模式经交流、推广 </w:t>
                  </w:r>
                </w:p>
              </w:tc>
              <w:tc>
                <w:tcPr>
                  <w:tcW w:w="1175" w:type="dxa"/>
                  <w:tcBorders>
                    <w:tl2br w:val="nil"/>
                    <w:tr2bl w:val="nil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  <w:insideH w:val="single" w:color="000000" w:themeColor="text1" w:sz="8" w:space="0"/>
                  <w:insideV w:val="single" w:color="000000" w:themeColor="text1" w:sz="8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29" w:type="dxa"/>
                  <w:vMerge w:val="continue"/>
                  <w:tcBorders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</w:p>
              </w:tc>
              <w:tc>
                <w:tcPr>
                  <w:tcW w:w="1670" w:type="dxa"/>
                  <w:tcBorders>
                    <w:tl2br w:val="nil"/>
                    <w:tr2bl w:val="nil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10．考核改革</w:t>
                  </w:r>
                </w:p>
              </w:tc>
              <w:tc>
                <w:tcPr>
                  <w:tcW w:w="4310" w:type="dxa"/>
                  <w:tcBorders>
                    <w:tl2br w:val="nil"/>
                    <w:tr2bl w:val="nil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能力考核逐步加强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参加社会考核项目有所增加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进行综合知识、综合能力、综合素质考核</w:t>
                  </w:r>
                </w:p>
              </w:tc>
              <w:tc>
                <w:tcPr>
                  <w:tcW w:w="1175" w:type="dxa"/>
                  <w:tcBorders>
                    <w:tl2br w:val="nil"/>
                    <w:tr2bl w:val="nil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b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  <w:insideH w:val="single" w:color="000000" w:themeColor="text1" w:sz="8" w:space="0"/>
                  <w:insideV w:val="single" w:color="000000" w:themeColor="text1" w:sz="8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29" w:type="dxa"/>
                  <w:vMerge w:val="continue"/>
                  <w:tcBorders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</w:p>
              </w:tc>
              <w:tc>
                <w:tcPr>
                  <w:tcW w:w="1670" w:type="dxa"/>
                  <w:tcBorders>
                    <w:tl2br w:val="nil"/>
                    <w:tr2bl w:val="nil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11．课程综合化</w:t>
                  </w:r>
                </w:p>
              </w:tc>
              <w:tc>
                <w:tcPr>
                  <w:tcW w:w="4310" w:type="dxa"/>
                  <w:tcBorders>
                    <w:tl2br w:val="nil"/>
                    <w:tr2bl w:val="nil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内容能有机结合，突出能力培养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在应用中有评议、讨论、总结、改进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在同行中有一定的影响（如校际交流、出版）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有效果对比分析材料，并收到较好教学效果</w:t>
                  </w:r>
                </w:p>
              </w:tc>
              <w:tc>
                <w:tcPr>
                  <w:tcW w:w="1175" w:type="dxa"/>
                  <w:tcBorders>
                    <w:tl2br w:val="nil"/>
                    <w:tr2bl w:val="nil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b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/>
                      <w:color w:val="FF0000"/>
                      <w:kern w:val="0"/>
                      <w:szCs w:val="21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  <w:insideH w:val="single" w:color="000000" w:themeColor="text1" w:sz="8" w:space="0"/>
                  <w:insideV w:val="single" w:color="000000" w:themeColor="text1" w:sz="8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29" w:type="dxa"/>
                  <w:vMerge w:val="continue"/>
                  <w:tcBorders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</w:p>
              </w:tc>
              <w:tc>
                <w:tcPr>
                  <w:tcW w:w="1670" w:type="dxa"/>
                  <w:tcBorders>
                    <w:tl2br w:val="nil"/>
                    <w:tr2bl w:val="nil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12．</w:t>
                  </w:r>
                  <w:r>
                    <w:rPr>
                      <w:rFonts w:hint="eastAsia" w:cs="宋体" w:asciiTheme="minorEastAsia" w:hAnsiTheme="minorEastAsia" w:eastAsiaTheme="minorEastAsia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专业现代化</w:t>
                  </w:r>
                </w:p>
              </w:tc>
              <w:tc>
                <w:tcPr>
                  <w:tcW w:w="4310" w:type="dxa"/>
                  <w:tcBorders>
                    <w:tl2br w:val="nil"/>
                    <w:tr2bl w:val="nil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深入学习现代特殊教育和职业教育观念、思想、方法等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专业现代化建设试点有方案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专业现代化建设试点已实施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专业现代化建设试点有阶段总结、效果分析</w:t>
                  </w:r>
                </w:p>
              </w:tc>
              <w:tc>
                <w:tcPr>
                  <w:tcW w:w="1175" w:type="dxa"/>
                  <w:tcBorders>
                    <w:tl2br w:val="nil"/>
                    <w:tr2bl w:val="nil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000000" w:themeColor="text1" w:sz="8" w:space="0"/>
                  <w:left w:val="single" w:color="000000" w:themeColor="text1" w:sz="8" w:space="0"/>
                  <w:bottom w:val="single" w:color="000000" w:themeColor="text1" w:sz="8" w:space="0"/>
                  <w:right w:val="single" w:color="000000" w:themeColor="text1" w:sz="8" w:space="0"/>
                  <w:insideH w:val="single" w:color="000000" w:themeColor="text1" w:sz="8" w:space="0"/>
                  <w:insideV w:val="single" w:color="000000" w:themeColor="text1" w:sz="8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829" w:type="dxa"/>
                  <w:vMerge w:val="continue"/>
                  <w:tcBorders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</w:p>
              </w:tc>
              <w:tc>
                <w:tcPr>
                  <w:tcW w:w="1670" w:type="dxa"/>
                  <w:tcBorders>
                    <w:tl2br w:val="nil"/>
                    <w:tr2bl w:val="nil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13．</w:t>
                  </w:r>
                  <w:r>
                    <w:rPr>
                      <w:rFonts w:hint="eastAsia" w:cs="宋体" w:asciiTheme="minorEastAsia" w:hAnsiTheme="minorEastAsia" w:eastAsiaTheme="minorEastAsia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产学研成绩</w:t>
                  </w:r>
                </w:p>
              </w:tc>
              <w:tc>
                <w:tcPr>
                  <w:tcW w:w="4310" w:type="dxa"/>
                  <w:tcBorders>
                    <w:tl2br w:val="nil"/>
                    <w:tr2bl w:val="nil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现有师资设备对社会服务，并产生效益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研制开发实训项目节约资金并收到效果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承担研究项目有成效</w:t>
                  </w:r>
                </w:p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公开发表论文、编写教材数量及质量</w:t>
                  </w:r>
                </w:p>
              </w:tc>
              <w:tc>
                <w:tcPr>
                  <w:tcW w:w="1175" w:type="dxa"/>
                  <w:tcBorders>
                    <w:tl2br w:val="nil"/>
                    <w:tr2bl w:val="nil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rPr>
                      <w:rFonts w:cs="宋体" w:asciiTheme="minorEastAsia" w:hAnsiTheme="minorEastAsia" w:eastAsiaTheme="minorEastAsia"/>
                      <w:kern w:val="0"/>
                      <w:szCs w:val="21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</w:tr>
          </w:tbl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仿宋" w:hAnsi="仿宋" w:eastAsia="仿宋" w:cs="仿宋"/>
          <w:kern w:val="0"/>
          <w:sz w:val="32"/>
          <w:szCs w:val="20"/>
        </w:rPr>
      </w:pPr>
    </w:p>
    <w:p>
      <w:pPr>
        <w:ind w:firstLine="420" w:firstLineChars="200"/>
      </w:pPr>
      <w:r>
        <w:rPr>
          <w:rFonts w:hint="eastAsia"/>
        </w:rPr>
        <w:t xml:space="preserve">  </w:t>
      </w:r>
    </w:p>
    <w:sectPr>
      <w:footerReference r:id="rId4" w:type="default"/>
      <w:pgSz w:w="11906" w:h="16838"/>
      <w:pgMar w:top="1440" w:right="1800" w:bottom="1159" w:left="1800" w:header="851" w:footer="992" w:gutter="0"/>
      <w:pgBorders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8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8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B672B"/>
    <w:multiLevelType w:val="multilevel"/>
    <w:tmpl w:val="2E7B672B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A1F"/>
    <w:rsid w:val="000A5FF1"/>
    <w:rsid w:val="00175BD9"/>
    <w:rsid w:val="001F6F39"/>
    <w:rsid w:val="00220058"/>
    <w:rsid w:val="002B45E3"/>
    <w:rsid w:val="002E39A7"/>
    <w:rsid w:val="003148C1"/>
    <w:rsid w:val="00373BB2"/>
    <w:rsid w:val="00397FB8"/>
    <w:rsid w:val="00463126"/>
    <w:rsid w:val="00524BD3"/>
    <w:rsid w:val="0055261D"/>
    <w:rsid w:val="00581EB9"/>
    <w:rsid w:val="00593CC1"/>
    <w:rsid w:val="006201CF"/>
    <w:rsid w:val="006C403E"/>
    <w:rsid w:val="00747AE2"/>
    <w:rsid w:val="007A3A1F"/>
    <w:rsid w:val="00942697"/>
    <w:rsid w:val="009A5C81"/>
    <w:rsid w:val="009D098F"/>
    <w:rsid w:val="00A53543"/>
    <w:rsid w:val="00A54AB3"/>
    <w:rsid w:val="00CA6B5F"/>
    <w:rsid w:val="00CB1D5D"/>
    <w:rsid w:val="00CD6C2A"/>
    <w:rsid w:val="00CD7AE7"/>
    <w:rsid w:val="00D128D0"/>
    <w:rsid w:val="00D37DBF"/>
    <w:rsid w:val="00DC2954"/>
    <w:rsid w:val="00DF0EBD"/>
    <w:rsid w:val="00E850DB"/>
    <w:rsid w:val="00EA2E42"/>
    <w:rsid w:val="00F73FA9"/>
    <w:rsid w:val="23382602"/>
    <w:rsid w:val="3C10134F"/>
    <w:rsid w:val="5AF02102"/>
    <w:rsid w:val="5E8C47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spacing w:before="100" w:beforeAutospacing="1" w:after="100" w:afterAutospacing="1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unhideWhenUsed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24"/>
    <w:unhideWhenUsed/>
    <w:qFormat/>
    <w:uiPriority w:val="99"/>
  </w:style>
  <w:style w:type="paragraph" w:styleId="4">
    <w:name w:val="Closing"/>
    <w:basedOn w:val="1"/>
    <w:link w:val="22"/>
    <w:unhideWhenUsed/>
    <w:qFormat/>
    <w:uiPriority w:val="99"/>
    <w:pPr>
      <w:ind w:left="100" w:leftChars="2100"/>
    </w:pPr>
  </w:style>
  <w:style w:type="paragraph" w:styleId="5">
    <w:name w:val="Body Text Indent"/>
    <w:basedOn w:val="1"/>
    <w:link w:val="23"/>
    <w:qFormat/>
    <w:uiPriority w:val="0"/>
    <w:pPr>
      <w:spacing w:after="120"/>
      <w:ind w:left="420" w:leftChars="200"/>
    </w:pPr>
  </w:style>
  <w:style w:type="paragraph" w:styleId="6">
    <w:name w:val="Date"/>
    <w:basedOn w:val="1"/>
    <w:next w:val="1"/>
    <w:link w:val="25"/>
    <w:qFormat/>
    <w:uiPriority w:val="99"/>
    <w:rPr>
      <w:rFonts w:ascii="宋体"/>
      <w:szCs w:val="20"/>
    </w:rPr>
  </w:style>
  <w:style w:type="paragraph" w:styleId="7">
    <w:name w:val="Body Text Indent 2"/>
    <w:basedOn w:val="1"/>
    <w:link w:val="26"/>
    <w:qFormat/>
    <w:uiPriority w:val="0"/>
    <w:pPr>
      <w:spacing w:line="400" w:lineRule="exact"/>
      <w:ind w:firstLine="420" w:firstLineChars="150"/>
    </w:pPr>
    <w:rPr>
      <w:sz w:val="28"/>
      <w:szCs w:val="28"/>
    </w:rPr>
  </w:style>
  <w:style w:type="paragraph" w:styleId="8">
    <w:name w:val="Balloon Text"/>
    <w:basedOn w:val="1"/>
    <w:link w:val="27"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99"/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zhengwen1"/>
    <w:basedOn w:val="12"/>
    <w:qFormat/>
    <w:uiPriority w:val="0"/>
    <w:rPr>
      <w:rFonts w:hint="eastAsia" w:ascii="宋体" w:hAnsi="宋体" w:eastAsia="宋体"/>
      <w:sz w:val="21"/>
      <w:szCs w:val="21"/>
    </w:rPr>
  </w:style>
  <w:style w:type="paragraph" w:customStyle="1" w:styleId="18">
    <w:name w:val="Normal_11"/>
    <w:qFormat/>
    <w:uiPriority w:val="0"/>
    <w:pPr>
      <w:spacing w:before="120" w:after="240" w:line="240" w:lineRule="auto"/>
      <w:jc w:val="both"/>
    </w:pPr>
    <w:rPr>
      <w:rFonts w:ascii="Times New Roman" w:hAnsi="Times New Roman" w:eastAsia="Calibri" w:cs="Times New Roman"/>
      <w:sz w:val="22"/>
      <w:szCs w:val="22"/>
      <w:lang w:val="ru-RU" w:eastAsia="en-US" w:bidi="ar-SA"/>
    </w:rPr>
  </w:style>
  <w:style w:type="character" w:customStyle="1" w:styleId="19">
    <w:name w:val="标题 1 Char"/>
    <w:basedOn w:val="12"/>
    <w:link w:val="2"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页眉 Char"/>
    <w:basedOn w:val="12"/>
    <w:link w:val="10"/>
    <w:qFormat/>
    <w:uiPriority w:val="99"/>
    <w:rPr>
      <w:rFonts w:ascii="Tahoma" w:hAnsi="Tahoma"/>
      <w:sz w:val="18"/>
      <w:szCs w:val="18"/>
    </w:rPr>
  </w:style>
  <w:style w:type="character" w:customStyle="1" w:styleId="21">
    <w:name w:val="页脚 Char"/>
    <w:basedOn w:val="12"/>
    <w:link w:val="9"/>
    <w:qFormat/>
    <w:uiPriority w:val="99"/>
    <w:rPr>
      <w:rFonts w:ascii="Tahoma" w:hAnsi="Tahoma"/>
      <w:sz w:val="18"/>
      <w:szCs w:val="18"/>
    </w:rPr>
  </w:style>
  <w:style w:type="character" w:customStyle="1" w:styleId="22">
    <w:name w:val="结束语 Char"/>
    <w:basedOn w:val="12"/>
    <w:link w:val="4"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3">
    <w:name w:val="正文文本缩进 Char"/>
    <w:basedOn w:val="12"/>
    <w:link w:val="5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4">
    <w:name w:val="称呼 Char"/>
    <w:basedOn w:val="12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5">
    <w:name w:val="日期 Char"/>
    <w:basedOn w:val="12"/>
    <w:link w:val="6"/>
    <w:qFormat/>
    <w:uiPriority w:val="99"/>
    <w:rPr>
      <w:rFonts w:ascii="宋体" w:hAnsi="Times New Roman" w:eastAsia="宋体" w:cs="Times New Roman"/>
      <w:kern w:val="2"/>
      <w:sz w:val="21"/>
      <w:szCs w:val="20"/>
    </w:rPr>
  </w:style>
  <w:style w:type="character" w:customStyle="1" w:styleId="26">
    <w:name w:val="正文文本缩进 2 Char"/>
    <w:basedOn w:val="12"/>
    <w:link w:val="7"/>
    <w:qFormat/>
    <w:uiPriority w:val="0"/>
    <w:rPr>
      <w:rFonts w:ascii="Times New Roman" w:hAnsi="Times New Roman" w:eastAsia="宋体" w:cs="Times New Roman"/>
      <w:kern w:val="2"/>
      <w:sz w:val="28"/>
      <w:szCs w:val="28"/>
    </w:rPr>
  </w:style>
  <w:style w:type="character" w:customStyle="1" w:styleId="27">
    <w:name w:val="批注框文本 Char"/>
    <w:basedOn w:val="12"/>
    <w:link w:val="8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788</Words>
  <Characters>4495</Characters>
  <Lines>37</Lines>
  <Paragraphs>10</Paragraphs>
  <ScaleCrop>false</ScaleCrop>
  <LinksUpToDate>false</LinksUpToDate>
  <CharactersWithSpaces>5273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2017-10-10T04:55:00Z</dcterms:created>
  <dc:creator>ba</dc:creator>
  <cp:lastModifiedBy>Administrator</cp:lastModifiedBy>
  <cp:lastPrinted>2017-12-18T02:55:54Z</cp:lastPrinted>
  <dcterms:modified xsi:type="dcterms:W3CDTF">2017-12-18T03:23:04Z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